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830"/>
      </w:tblGrid>
      <w:tr w:rsidR="00D43557" w:rsidRPr="00C3762A" w14:paraId="61A217CD" w14:textId="77777777" w:rsidTr="00C3762A">
        <w:trPr>
          <w:tblCellSpacing w:w="15" w:type="dxa"/>
          <w:jc w:val="center"/>
        </w:trPr>
        <w:tc>
          <w:tcPr>
            <w:tcW w:w="0" w:type="auto"/>
            <w:vAlign w:val="center"/>
            <w:hideMark/>
          </w:tcPr>
          <w:p w14:paraId="7C83A6C7" w14:textId="3ADB1627" w:rsidR="00C3762A" w:rsidRPr="00C3762A" w:rsidRDefault="00C3762A" w:rsidP="00C3762A">
            <w:pPr>
              <w:spacing w:before="0" w:after="0"/>
              <w:ind w:firstLine="0"/>
              <w:rPr>
                <w:rFonts w:ascii="-webkit-standard" w:eastAsia="Times New Roman" w:hAnsi="-webkit-standard" w:cs="Times New Roman"/>
                <w:kern w:val="0"/>
                <w:szCs w:val="24"/>
                <w:lang w:val="es-VE" w:eastAsia="es-ES_tradnl"/>
                <w14:ligatures w14:val="none"/>
              </w:rPr>
            </w:pPr>
            <w:r w:rsidRPr="00C3762A">
              <w:rPr>
                <w:rFonts w:ascii="-webkit-standard" w:eastAsia="Times New Roman" w:hAnsi="-webkit-standard" w:cs="Times New Roman"/>
                <w:kern w:val="0"/>
                <w:szCs w:val="24"/>
                <w:lang w:val="es-VE" w:eastAsia="es-ES_tradnl"/>
                <w14:ligatures w14:val="none"/>
              </w:rPr>
              <w:fldChar w:fldCharType="begin"/>
            </w:r>
            <w:r w:rsidRPr="00C3762A">
              <w:rPr>
                <w:rFonts w:ascii="-webkit-standard" w:eastAsia="Times New Roman" w:hAnsi="-webkit-standard" w:cs="Times New Roman"/>
                <w:kern w:val="0"/>
                <w:szCs w:val="24"/>
                <w:lang w:val="es-VE" w:eastAsia="es-ES_tradnl"/>
                <w14:ligatures w14:val="none"/>
              </w:rPr>
              <w:instrText xml:space="preserve"> INCLUDEPICTURE "/Users/juliocesadiaz/Library/Group Containers/UBF8T346G9.ms/WebArchiveCopyPasteTempFiles/com.microsoft.Word/encabezadotsj.jpg" \* MERGEFORMATINET </w:instrText>
            </w:r>
            <w:r w:rsidRPr="00C3762A">
              <w:rPr>
                <w:rFonts w:ascii="-webkit-standard" w:eastAsia="Times New Roman" w:hAnsi="-webkit-standard" w:cs="Times New Roman"/>
                <w:kern w:val="0"/>
                <w:szCs w:val="24"/>
                <w:lang w:val="es-VE" w:eastAsia="es-ES_tradnl"/>
                <w14:ligatures w14:val="none"/>
              </w:rPr>
              <w:fldChar w:fldCharType="separate"/>
            </w:r>
            <w:r w:rsidRPr="00C3762A">
              <w:rPr>
                <w:rFonts w:ascii="-webkit-standard" w:eastAsia="Times New Roman" w:hAnsi="-webkit-standard" w:cs="Times New Roman"/>
                <w:noProof/>
                <w:kern w:val="0"/>
                <w:szCs w:val="24"/>
                <w:lang w:val="es-VE" w:eastAsia="es-ES_tradnl"/>
                <w14:ligatures w14:val="none"/>
              </w:rPr>
              <w:drawing>
                <wp:inline distT="0" distB="0" distL="0" distR="0" wp14:anchorId="7F1FA82C" wp14:editId="02A929E9">
                  <wp:extent cx="1103676" cy="1108502"/>
                  <wp:effectExtent l="0" t="0" r="1270" b="0"/>
                  <wp:docPr id="69664338" name="Imagen 1" descr="Imagen que contiene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64338" name="Imagen 1" descr="Imagen que contiene Logotipo&#10;&#10;Descripción generada automáticament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flipV="1">
                            <a:off x="0" y="0"/>
                            <a:ext cx="1202102" cy="1207358"/>
                          </a:xfrm>
                          <a:prstGeom prst="rect">
                            <a:avLst/>
                          </a:prstGeom>
                          <a:noFill/>
                          <a:ln>
                            <a:noFill/>
                          </a:ln>
                        </pic:spPr>
                      </pic:pic>
                    </a:graphicData>
                  </a:graphic>
                </wp:inline>
              </w:drawing>
            </w:r>
            <w:r w:rsidRPr="00C3762A">
              <w:rPr>
                <w:rFonts w:ascii="-webkit-standard" w:eastAsia="Times New Roman" w:hAnsi="-webkit-standard" w:cs="Times New Roman"/>
                <w:kern w:val="0"/>
                <w:szCs w:val="24"/>
                <w:lang w:val="es-VE" w:eastAsia="es-ES_tradnl"/>
                <w14:ligatures w14:val="none"/>
              </w:rPr>
              <w:fldChar w:fldCharType="end"/>
            </w:r>
          </w:p>
        </w:tc>
      </w:tr>
    </w:tbl>
    <w:p w14:paraId="227808E3" w14:textId="77777777" w:rsidR="00C3762A" w:rsidRPr="00C3762A" w:rsidRDefault="00C3762A" w:rsidP="00C3762A">
      <w:pPr>
        <w:spacing w:before="0" w:after="0"/>
        <w:ind w:firstLine="0"/>
        <w:jc w:val="center"/>
        <w:rPr>
          <w:rFonts w:eastAsia="Times New Roman" w:cs="Times New Roman"/>
          <w:color w:val="000000"/>
          <w:kern w:val="0"/>
          <w:sz w:val="28"/>
          <w:szCs w:val="28"/>
          <w:lang w:val="es-VE" w:eastAsia="es-ES_tradnl"/>
          <w14:ligatures w14:val="none"/>
        </w:rPr>
      </w:pPr>
      <w:proofErr w:type="spellStart"/>
      <w:r w:rsidRPr="00C3762A">
        <w:rPr>
          <w:rFonts w:eastAsia="Times New Roman" w:cs="Times New Roman"/>
          <w:color w:val="000000"/>
          <w:kern w:val="0"/>
          <w:szCs w:val="24"/>
          <w:lang w:val="it-IT" w:eastAsia="es-ES_tradnl"/>
          <w14:ligatures w14:val="none"/>
        </w:rPr>
        <w:t>Magistrado</w:t>
      </w:r>
      <w:proofErr w:type="spellEnd"/>
      <w:r w:rsidRPr="00C3762A">
        <w:rPr>
          <w:rFonts w:eastAsia="Times New Roman" w:cs="Times New Roman"/>
          <w:color w:val="000000"/>
          <w:kern w:val="0"/>
          <w:szCs w:val="24"/>
          <w:lang w:val="it-IT" w:eastAsia="es-ES_tradnl"/>
          <w14:ligatures w14:val="none"/>
        </w:rPr>
        <w:t xml:space="preserve"> Ponente: </w:t>
      </w:r>
      <w:hyperlink r:id="rId5" w:history="1">
        <w:r w:rsidRPr="00C3762A">
          <w:rPr>
            <w:rFonts w:eastAsia="Times New Roman" w:cs="Times New Roman"/>
            <w:b/>
            <w:bCs/>
            <w:color w:val="0000FF"/>
            <w:kern w:val="0"/>
            <w:szCs w:val="24"/>
            <w:u w:val="single"/>
            <w:lang w:eastAsia="es-ES_tradnl"/>
            <w14:ligatures w14:val="none"/>
          </w:rPr>
          <w:t>MALAQUÍAS GIL RODRÍGUEZ</w:t>
        </w:r>
      </w:hyperlink>
    </w:p>
    <w:p w14:paraId="71F9B824" w14:textId="77777777" w:rsidR="00C3762A" w:rsidRPr="00C3762A" w:rsidRDefault="00C3762A" w:rsidP="00C3762A">
      <w:pPr>
        <w:spacing w:before="0" w:after="0"/>
        <w:ind w:firstLine="0"/>
        <w:jc w:val="center"/>
        <w:rPr>
          <w:rFonts w:eastAsia="Times New Roman" w:cs="Times New Roman"/>
          <w:color w:val="000000"/>
          <w:kern w:val="0"/>
          <w:sz w:val="28"/>
          <w:szCs w:val="28"/>
          <w:lang w:val="es-VE" w:eastAsia="es-ES_tradnl"/>
          <w14:ligatures w14:val="none"/>
        </w:rPr>
      </w:pPr>
      <w:r w:rsidRPr="00C3762A">
        <w:rPr>
          <w:rFonts w:eastAsia="Times New Roman" w:cs="Times New Roman"/>
          <w:b/>
          <w:bCs/>
          <w:color w:val="000000"/>
          <w:kern w:val="0"/>
          <w:szCs w:val="24"/>
          <w:lang w:val="es-VE" w:eastAsia="es-ES_tradnl"/>
          <w14:ligatures w14:val="none"/>
        </w:rPr>
        <w:t>Exp. Nro. 2023-0271</w:t>
      </w:r>
    </w:p>
    <w:p w14:paraId="141A2874" w14:textId="77777777" w:rsidR="00C3762A" w:rsidRPr="00C3762A" w:rsidRDefault="00C3762A" w:rsidP="00C3762A">
      <w:pPr>
        <w:spacing w:before="0" w:after="0"/>
        <w:ind w:firstLine="0"/>
        <w:jc w:val="center"/>
        <w:rPr>
          <w:rFonts w:eastAsia="Times New Roman" w:cs="Times New Roman"/>
          <w:color w:val="000000"/>
          <w:kern w:val="0"/>
          <w:sz w:val="28"/>
          <w:szCs w:val="28"/>
          <w:lang w:val="es-VE" w:eastAsia="es-ES_tradnl"/>
          <w14:ligatures w14:val="none"/>
        </w:rPr>
      </w:pPr>
      <w:r w:rsidRPr="00C3762A">
        <w:rPr>
          <w:rFonts w:eastAsia="Times New Roman" w:cs="Times New Roman"/>
          <w:b/>
          <w:bCs/>
          <w:color w:val="000000"/>
          <w:kern w:val="0"/>
          <w:szCs w:val="24"/>
          <w:lang w:val="es-VE" w:eastAsia="es-ES_tradnl"/>
          <w14:ligatures w14:val="none"/>
        </w:rPr>
        <w:t> </w:t>
      </w:r>
    </w:p>
    <w:p w14:paraId="4A8EA8DB" w14:textId="77777777" w:rsidR="00C3762A" w:rsidRPr="00C3762A" w:rsidRDefault="00C3762A" w:rsidP="00C3762A">
      <w:pPr>
        <w:spacing w:before="0" w:after="0" w:line="420" w:lineRule="atLeast"/>
        <w:ind w:firstLine="680"/>
        <w:jc w:val="both"/>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eastAsia="es-ES_tradnl"/>
          <w14:ligatures w14:val="none"/>
        </w:rPr>
        <w:t xml:space="preserve">A través Oficio Nro. 227-2023 de fecha 10 de mayo de 2023, recibido el 22 de junio del mismo año, el Tribunal Superior de lo Contencioso Tributario de la Región Guayana, remitió a esta Sala Político-Administrativa el expediente distinguido con el alfanumérico FP02-T-2022-000006, de su nomenclatura, contentivo del recurso de apelación ejercido el 24 de abril de 2023, por los abogados Aurora Higinia León </w:t>
      </w:r>
      <w:proofErr w:type="spellStart"/>
      <w:r w:rsidRPr="00C3762A">
        <w:rPr>
          <w:rFonts w:eastAsia="Times New Roman" w:cs="Times New Roman"/>
          <w:color w:val="000000"/>
          <w:kern w:val="0"/>
          <w:szCs w:val="24"/>
          <w:lang w:eastAsia="es-ES_tradnl"/>
          <w14:ligatures w14:val="none"/>
        </w:rPr>
        <w:t>Michelangeli</w:t>
      </w:r>
      <w:proofErr w:type="spellEnd"/>
      <w:r w:rsidRPr="00C3762A">
        <w:rPr>
          <w:rFonts w:eastAsia="Times New Roman" w:cs="Times New Roman"/>
          <w:color w:val="000000"/>
          <w:kern w:val="0"/>
          <w:szCs w:val="24"/>
          <w:lang w:eastAsia="es-ES_tradnl"/>
          <w14:ligatures w14:val="none"/>
        </w:rPr>
        <w:t xml:space="preserve"> y Ricardo Enrique Bernal Lizardi, (INPREABOGADO </w:t>
      </w:r>
      <w:proofErr w:type="spellStart"/>
      <w:r w:rsidRPr="00C3762A">
        <w:rPr>
          <w:rFonts w:eastAsia="Times New Roman" w:cs="Times New Roman"/>
          <w:color w:val="000000"/>
          <w:kern w:val="0"/>
          <w:szCs w:val="24"/>
          <w:lang w:eastAsia="es-ES_tradnl"/>
          <w14:ligatures w14:val="none"/>
        </w:rPr>
        <w:t>Nros</w:t>
      </w:r>
      <w:proofErr w:type="spellEnd"/>
      <w:r w:rsidRPr="00C3762A">
        <w:rPr>
          <w:rFonts w:eastAsia="Times New Roman" w:cs="Times New Roman"/>
          <w:color w:val="000000"/>
          <w:kern w:val="0"/>
          <w:szCs w:val="24"/>
          <w:lang w:eastAsia="es-ES_tradnl"/>
          <w14:ligatures w14:val="none"/>
        </w:rPr>
        <w:t>. 50.562 y 131.609, respectivamente), actuando con el carácter de sustitutos de la Procuraduría General del Estado Bolívar, por Órgano de la Gobernación del Estado Bolívar y su ente adscrito el </w:t>
      </w:r>
      <w:r w:rsidRPr="00C3762A">
        <w:rPr>
          <w:rFonts w:eastAsia="Times New Roman" w:cs="Times New Roman"/>
          <w:b/>
          <w:bCs/>
          <w:color w:val="000000"/>
          <w:kern w:val="0"/>
          <w:szCs w:val="24"/>
          <w:lang w:eastAsia="es-ES_tradnl"/>
          <w14:ligatures w14:val="none"/>
        </w:rPr>
        <w:t>SERVICIO AUTÓNOMO DE ADMINISTRACIÓN TRIBUTARIA DEL ESTADO BOLÍVAR (TRIBUTOS BOLÍVAR)</w:t>
      </w:r>
      <w:r w:rsidRPr="00C3762A">
        <w:rPr>
          <w:rFonts w:eastAsia="Times New Roman" w:cs="Times New Roman"/>
          <w:color w:val="000000"/>
          <w:kern w:val="0"/>
          <w:szCs w:val="24"/>
          <w:lang w:eastAsia="es-ES_tradnl"/>
          <w14:ligatures w14:val="none"/>
        </w:rPr>
        <w:t>, según se evidencia en el instrumento poder que cursa a los folios 52 al 55 de las actas procesales, </w:t>
      </w:r>
      <w:r w:rsidRPr="00C3762A">
        <w:rPr>
          <w:rFonts w:eastAsia="Times New Roman" w:cs="Times New Roman"/>
          <w:color w:val="000000"/>
          <w:kern w:val="0"/>
          <w:szCs w:val="24"/>
          <w:lang w:val="es-ES_tradnl" w:eastAsia="es-ES_tradnl"/>
          <w14:ligatures w14:val="none"/>
        </w:rPr>
        <w:t>contra la sentencia definitiva Nro. PJ0662023000013, dictada por </w:t>
      </w:r>
      <w:r w:rsidRPr="00C3762A">
        <w:rPr>
          <w:rFonts w:eastAsia="Times New Roman" w:cs="Times New Roman"/>
          <w:color w:val="000000"/>
          <w:kern w:val="0"/>
          <w:szCs w:val="24"/>
          <w:lang w:eastAsia="es-ES_tradnl"/>
          <w14:ligatures w14:val="none"/>
        </w:rPr>
        <w:t>el </w:t>
      </w:r>
      <w:r w:rsidRPr="00C3762A">
        <w:rPr>
          <w:rFonts w:eastAsia="Times New Roman" w:cs="Times New Roman"/>
          <w:color w:val="000000"/>
          <w:kern w:val="0"/>
          <w:szCs w:val="24"/>
          <w:lang w:val="es-VE" w:eastAsia="es-ES_tradnl"/>
          <w14:ligatures w14:val="none"/>
        </w:rPr>
        <w:t>Juzgado</w:t>
      </w:r>
      <w:r w:rsidRPr="00C3762A">
        <w:rPr>
          <w:rFonts w:eastAsia="Times New Roman" w:cs="Times New Roman"/>
          <w:color w:val="000000"/>
          <w:kern w:val="0"/>
          <w:szCs w:val="24"/>
          <w:lang w:eastAsia="es-ES_tradnl"/>
          <w14:ligatures w14:val="none"/>
        </w:rPr>
        <w:t> remitente</w:t>
      </w:r>
      <w:r w:rsidRPr="00C3762A">
        <w:rPr>
          <w:rFonts w:eastAsia="Times New Roman" w:cs="Times New Roman"/>
          <w:color w:val="000000"/>
          <w:kern w:val="0"/>
          <w:szCs w:val="24"/>
          <w:lang w:val="es-ES_tradnl" w:eastAsia="es-ES_tradnl"/>
          <w14:ligatures w14:val="none"/>
        </w:rPr>
        <w:t> en fecha 16 de marzo de 2023,</w:t>
      </w:r>
      <w:r w:rsidRPr="00C3762A">
        <w:rPr>
          <w:rFonts w:eastAsia="Times New Roman" w:cs="Times New Roman"/>
          <w:color w:val="000000"/>
          <w:kern w:val="0"/>
          <w:szCs w:val="24"/>
          <w:lang w:eastAsia="es-ES_tradnl"/>
          <w14:ligatures w14:val="none"/>
        </w:rPr>
        <w:t> que declaró parcialmente con lugar el recurso contencioso tributario interpuesto en fecha 21 de abril de 2022, por el ciudadano Francisco Javier   Bolívar   Ledezma,   titular   de   la   cédula   de    identidad    Nro. 16.649.801, actuando en su carácter de “</w:t>
      </w:r>
      <w:r w:rsidRPr="00C3762A">
        <w:rPr>
          <w:rFonts w:eastAsia="Times New Roman" w:cs="Times New Roman"/>
          <w:i/>
          <w:iCs/>
          <w:color w:val="000000"/>
          <w:kern w:val="0"/>
          <w:szCs w:val="24"/>
          <w:lang w:eastAsia="es-ES_tradnl"/>
          <w14:ligatures w14:val="none"/>
        </w:rPr>
        <w:t>Presidente</w:t>
      </w:r>
      <w:r w:rsidRPr="00C3762A">
        <w:rPr>
          <w:rFonts w:eastAsia="Times New Roman" w:cs="Times New Roman"/>
          <w:color w:val="000000"/>
          <w:kern w:val="0"/>
          <w:szCs w:val="24"/>
          <w:lang w:eastAsia="es-ES_tradnl"/>
          <w14:ligatures w14:val="none"/>
        </w:rPr>
        <w:t>” de la sociedad de comercio </w:t>
      </w:r>
      <w:r w:rsidRPr="00C3762A">
        <w:rPr>
          <w:rFonts w:eastAsia="Times New Roman" w:cs="Times New Roman"/>
          <w:b/>
          <w:bCs/>
          <w:color w:val="000000"/>
          <w:kern w:val="0"/>
          <w:szCs w:val="24"/>
          <w:lang w:eastAsia="es-ES_tradnl"/>
          <w14:ligatures w14:val="none"/>
        </w:rPr>
        <w:t>LICORES LA ORQUÍDEA, C.A.</w:t>
      </w:r>
      <w:r w:rsidRPr="00C3762A">
        <w:rPr>
          <w:rFonts w:eastAsia="Times New Roman" w:cs="Times New Roman"/>
          <w:color w:val="000000"/>
          <w:kern w:val="0"/>
          <w:szCs w:val="24"/>
          <w:lang w:eastAsia="es-ES_tradnl"/>
          <w14:ligatures w14:val="none"/>
        </w:rPr>
        <w:t>, </w:t>
      </w:r>
      <w:r w:rsidRPr="00C3762A">
        <w:rPr>
          <w:rFonts w:eastAsia="Times New Roman" w:cs="Times New Roman"/>
          <w:color w:val="000000"/>
          <w:kern w:val="0"/>
          <w:szCs w:val="24"/>
          <w:lang w:val="es-UY" w:eastAsia="es-ES_tradnl"/>
          <w14:ligatures w14:val="none"/>
        </w:rPr>
        <w:t>inscrita ante el Juzgado Primero de Primera Instancia en lo Civil, Mercantil y Agrario del Primer Circuito de la Circunscripción Judicial del Estado Bolívar, en fecha 17 de julio de 1992, bajo el Nro. 38, folios 173 al 177 Vto.</w:t>
      </w:r>
      <w:r w:rsidRPr="00C3762A">
        <w:rPr>
          <w:rFonts w:eastAsia="Times New Roman" w:cs="Times New Roman"/>
          <w:color w:val="000000"/>
          <w:kern w:val="0"/>
          <w:szCs w:val="24"/>
          <w:lang w:eastAsia="es-ES_tradnl"/>
          <w14:ligatures w14:val="none"/>
        </w:rPr>
        <w:t>; asistido por el abogado Julio César Díaz Valdez (INPREABOGADO Nro. 146.634).</w:t>
      </w:r>
    </w:p>
    <w:p w14:paraId="5DF0B4AB" w14:textId="77777777" w:rsidR="00C3762A" w:rsidRPr="00C3762A" w:rsidRDefault="00C3762A" w:rsidP="00C3762A">
      <w:pPr>
        <w:spacing w:line="420" w:lineRule="atLeast"/>
        <w:ind w:firstLine="680"/>
        <w:jc w:val="both"/>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eastAsia="es-ES_tradnl"/>
          <w14:ligatures w14:val="none"/>
        </w:rPr>
        <w:t>Dicho </w:t>
      </w:r>
      <w:r w:rsidRPr="00C3762A">
        <w:rPr>
          <w:rFonts w:eastAsia="Times New Roman" w:cs="Times New Roman"/>
          <w:color w:val="000000"/>
          <w:kern w:val="0"/>
          <w:szCs w:val="24"/>
          <w:lang w:val="es-VE" w:eastAsia="es-ES_tradnl"/>
          <w14:ligatures w14:val="none"/>
        </w:rPr>
        <w:t>medio de impugnación judicial fue incoado </w:t>
      </w:r>
      <w:r w:rsidRPr="00C3762A">
        <w:rPr>
          <w:rFonts w:eastAsia="Times New Roman" w:cs="Times New Roman"/>
          <w:color w:val="000000"/>
          <w:kern w:val="0"/>
          <w:szCs w:val="24"/>
          <w:lang w:eastAsia="es-ES_tradnl"/>
          <w14:ligatures w14:val="none"/>
        </w:rPr>
        <w:t xml:space="preserve">contra la Resolución de Imposición de Sanción Nro. GEB/SAF/SAATEB/DD/ GIF/DV/002/2022 de fecha 25 de marzo de 2022, notificada el 4 de abril del mismo año, dictada por el Departamento de Inspección y Fiscalización del Servicio Autónomo de Administración Tributaria del Estado Bolívar, en materia de timbres fiscales estadales, para el período impositivo correspondiente desde el 1° </w:t>
      </w:r>
      <w:r w:rsidRPr="00C3762A">
        <w:rPr>
          <w:rFonts w:eastAsia="Times New Roman" w:cs="Times New Roman"/>
          <w:color w:val="000000"/>
          <w:kern w:val="0"/>
          <w:szCs w:val="24"/>
          <w:lang w:eastAsia="es-ES_tradnl"/>
          <w14:ligatures w14:val="none"/>
        </w:rPr>
        <w:lastRenderedPageBreak/>
        <w:t>de enero de 2019 hasta el 31 de enero de 2021, mediante la cual, se impuso a la contribuyente sanciones de multa por incumplimiento de deberes formales, de conformidad con los artículos 82, y 343 del Código Orgánico Tributario de 2020, en concordancia con el numeral 2 del artículo 86 de la Ley de Timbres Fiscales del Estado Bolívar, por la cantidad total de “</w:t>
      </w:r>
      <w:r w:rsidRPr="00C3762A">
        <w:rPr>
          <w:rFonts w:eastAsia="Times New Roman" w:cs="Times New Roman"/>
          <w:i/>
          <w:iCs/>
          <w:color w:val="000000"/>
          <w:kern w:val="0"/>
          <w:szCs w:val="24"/>
          <w:lang w:eastAsia="es-ES_tradnl"/>
          <w14:ligatures w14:val="none"/>
        </w:rPr>
        <w:t>ochocientas setenta y cinco unidades tributarias (875,00 U.T.)</w:t>
      </w:r>
      <w:r w:rsidRPr="00C3762A">
        <w:rPr>
          <w:rFonts w:eastAsia="Times New Roman" w:cs="Times New Roman"/>
          <w:color w:val="000000"/>
          <w:kern w:val="0"/>
          <w:szCs w:val="24"/>
          <w:lang w:eastAsia="es-ES_tradnl"/>
          <w14:ligatures w14:val="none"/>
        </w:rPr>
        <w:t>”</w:t>
      </w:r>
      <w:r w:rsidRPr="00C3762A">
        <w:rPr>
          <w:rFonts w:eastAsia="Times New Roman" w:cs="Times New Roman"/>
          <w:color w:val="000000"/>
          <w:kern w:val="0"/>
          <w:szCs w:val="24"/>
          <w:lang w:val="es-VE" w:eastAsia="es-ES_tradnl"/>
          <w14:ligatures w14:val="none"/>
        </w:rPr>
        <w:t>.</w:t>
      </w:r>
    </w:p>
    <w:p w14:paraId="764FFF86" w14:textId="77777777" w:rsidR="00C3762A" w:rsidRPr="00C3762A" w:rsidRDefault="00C3762A" w:rsidP="00C3762A">
      <w:pPr>
        <w:spacing w:line="420" w:lineRule="atLeast"/>
        <w:ind w:firstLine="680"/>
        <w:jc w:val="both"/>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eastAsia="es-ES_tradnl"/>
          <w14:ligatures w14:val="none"/>
        </w:rPr>
        <w:t>El 8 de mayo de 2023, el prenombrado Juzgado oyó en ambos efectos la apelación interpuesta el 24 de abril de 2023, y </w:t>
      </w:r>
      <w:r w:rsidRPr="00C3762A">
        <w:rPr>
          <w:rFonts w:eastAsia="Times New Roman" w:cs="Times New Roman"/>
          <w:color w:val="000000"/>
          <w:spacing w:val="-2"/>
          <w:kern w:val="0"/>
          <w:szCs w:val="24"/>
          <w:lang w:eastAsia="es-ES_tradnl"/>
          <w14:ligatures w14:val="none"/>
        </w:rPr>
        <w:t>ordenó la remisión del expediente a esta Sala Político-Administrativa, a través del precitado oficio.</w:t>
      </w:r>
    </w:p>
    <w:p w14:paraId="760ABE19" w14:textId="77777777" w:rsidR="00C3762A" w:rsidRPr="00C3762A" w:rsidRDefault="00C3762A" w:rsidP="00C3762A">
      <w:pPr>
        <w:spacing w:line="420" w:lineRule="atLeast"/>
        <w:ind w:firstLine="680"/>
        <w:jc w:val="both"/>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val="es-VE" w:eastAsia="es-ES_tradnl"/>
          <w14:ligatures w14:val="none"/>
        </w:rPr>
        <w:t>En fecha 20</w:t>
      </w:r>
      <w:r w:rsidRPr="00C3762A">
        <w:rPr>
          <w:rFonts w:eastAsia="Times New Roman" w:cs="Times New Roman"/>
          <w:color w:val="000000"/>
          <w:kern w:val="0"/>
          <w:szCs w:val="24"/>
          <w:lang w:eastAsia="es-ES_tradnl"/>
          <w14:ligatures w14:val="none"/>
        </w:rPr>
        <w:t> de julio de 2023, </w:t>
      </w:r>
      <w:r w:rsidRPr="00C3762A">
        <w:rPr>
          <w:rFonts w:eastAsia="Times New Roman" w:cs="Times New Roman"/>
          <w:color w:val="000000"/>
          <w:kern w:val="0"/>
          <w:szCs w:val="24"/>
          <w:lang w:val="es-ES_tradnl" w:eastAsia="es-ES_tradnl"/>
          <w14:ligatures w14:val="none"/>
        </w:rPr>
        <w:t>se dio cuenta en Sala y, en la misma oportunidad se designó Ponente a</w:t>
      </w:r>
      <w:r w:rsidRPr="00C3762A">
        <w:rPr>
          <w:rFonts w:eastAsia="Times New Roman" w:cs="Times New Roman"/>
          <w:color w:val="000000"/>
          <w:kern w:val="0"/>
          <w:szCs w:val="24"/>
          <w:lang w:eastAsia="es-ES_tradnl"/>
          <w14:ligatures w14:val="none"/>
        </w:rPr>
        <w:t>l </w:t>
      </w:r>
      <w:r w:rsidRPr="00C3762A">
        <w:rPr>
          <w:rFonts w:eastAsia="Times New Roman" w:cs="Times New Roman"/>
          <w:color w:val="000000"/>
          <w:kern w:val="0"/>
          <w:szCs w:val="24"/>
          <w:lang w:val="es-ES_tradnl" w:eastAsia="es-ES_tradnl"/>
          <w14:ligatures w14:val="none"/>
        </w:rPr>
        <w:t>Magistrado Malaquías Gil Rodríguez; se ordenó aplicar el procedimiento de segunda instancia previsto en el artículo 92 de la Ley Orgánica de la Jurisdicción Contencioso Administrativa y se fijaron seis (6) días continuos en razón del término de la distancia y un lapso de diez (10) días de despacho para fundamentar la apelación ejercida</w:t>
      </w:r>
      <w:r w:rsidRPr="00C3762A">
        <w:rPr>
          <w:rFonts w:eastAsia="Times New Roman" w:cs="Times New Roman"/>
          <w:color w:val="000000"/>
          <w:kern w:val="0"/>
          <w:szCs w:val="24"/>
          <w:lang w:val="es-VE" w:eastAsia="es-ES_tradnl"/>
          <w14:ligatures w14:val="none"/>
        </w:rPr>
        <w:t>. </w:t>
      </w:r>
    </w:p>
    <w:p w14:paraId="152BC00B" w14:textId="77777777" w:rsidR="00C3762A" w:rsidRPr="00C3762A" w:rsidRDefault="00C3762A" w:rsidP="00C3762A">
      <w:pPr>
        <w:spacing w:line="420" w:lineRule="atLeast"/>
        <w:ind w:firstLine="680"/>
        <w:jc w:val="both"/>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eastAsia="es-ES_tradnl"/>
          <w14:ligatures w14:val="none"/>
        </w:rPr>
        <w:t>Por auto del 26 de septiembre de 2023, se dejó constancia que por cuanto no se fundamentó la apelación de la empresa accionante, esta Sala ordenó practicar por Secretaría el cómputo de los días de despacho transcurridos desde la fecha en que se dio cuenta en Sala del recibo del expediente, exclusive, hasta el día del vencimiento del lapso establecido en el auto del 20 de julio de 2023, inclusive. Realizado dicho cómputo se hizo constar que transcurrieron “(…) </w:t>
      </w:r>
      <w:r w:rsidRPr="00C3762A">
        <w:rPr>
          <w:rFonts w:eastAsia="Times New Roman" w:cs="Times New Roman"/>
          <w:i/>
          <w:iCs/>
          <w:color w:val="000000"/>
          <w:kern w:val="0"/>
          <w:szCs w:val="24"/>
          <w:lang w:eastAsia="es-ES_tradnl"/>
          <w14:ligatures w14:val="none"/>
        </w:rPr>
        <w:t xml:space="preserve">seis (6) días continuos </w:t>
      </w:r>
      <w:proofErr w:type="gramStart"/>
      <w:r w:rsidRPr="00C3762A">
        <w:rPr>
          <w:rFonts w:eastAsia="Times New Roman" w:cs="Times New Roman"/>
          <w:i/>
          <w:iCs/>
          <w:color w:val="000000"/>
          <w:kern w:val="0"/>
          <w:szCs w:val="24"/>
          <w:lang w:eastAsia="es-ES_tradnl"/>
          <w14:ligatures w14:val="none"/>
        </w:rPr>
        <w:t>en razón del</w:t>
      </w:r>
      <w:proofErr w:type="gramEnd"/>
      <w:r w:rsidRPr="00C3762A">
        <w:rPr>
          <w:rFonts w:eastAsia="Times New Roman" w:cs="Times New Roman"/>
          <w:i/>
          <w:iCs/>
          <w:color w:val="000000"/>
          <w:kern w:val="0"/>
          <w:szCs w:val="24"/>
          <w:lang w:eastAsia="es-ES_tradnl"/>
          <w14:ligatures w14:val="none"/>
        </w:rPr>
        <w:t xml:space="preserve"> término de la distancia correspondientes a 21, 22, 23, 24, 25 y 26 de julio de 2023, y diez (10) días de despacho a saber: 27 de julio; 1, 2, 3, 8, 9 y 10 de agosto y 19, 20 y 21 de septiembre de 2023</w:t>
      </w:r>
      <w:r w:rsidRPr="00C3762A">
        <w:rPr>
          <w:rFonts w:eastAsia="Times New Roman" w:cs="Times New Roman"/>
          <w:color w:val="000000"/>
          <w:kern w:val="0"/>
          <w:szCs w:val="24"/>
          <w:lang w:eastAsia="es-ES_tradnl"/>
          <w14:ligatures w14:val="none"/>
        </w:rPr>
        <w:t> (…)”.</w:t>
      </w:r>
    </w:p>
    <w:p w14:paraId="4A731C52" w14:textId="77777777" w:rsidR="00C3762A" w:rsidRPr="00C3762A" w:rsidRDefault="00C3762A" w:rsidP="00C3762A">
      <w:pPr>
        <w:shd w:val="clear" w:color="auto" w:fill="FFFFFF"/>
        <w:spacing w:line="420" w:lineRule="atLeast"/>
        <w:jc w:val="both"/>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eastAsia="es-ES_tradnl"/>
          <w14:ligatures w14:val="none"/>
        </w:rPr>
        <w:t xml:space="preserve">Por auto de fecha 23 de abril de 2024, se dejó constancia que el 17 de enero de ese mismo año, se eligió la Junta Directiva de este Máximo Tribunal de conformidad con lo establecido en el artículo 20 de la Ley Orgánica de Reforma de la Ley Orgánica del Tribunal Supremo de Justicia, asimismo el 13 de marzo del presente año se incorpora el Magistrado Suplente Emilio Ramos González por la falta absoluta de la Magistrada Bárbara Gabriela César Siero, quedando integrada esta Sala Político-Administrativa de la forma siguiente: Presidente, Magistrado Malaquías Gil Rodríguez; Vicepresidente, Magistrado Juan Carlos </w:t>
      </w:r>
      <w:r w:rsidRPr="00C3762A">
        <w:rPr>
          <w:rFonts w:eastAsia="Times New Roman" w:cs="Times New Roman"/>
          <w:color w:val="000000"/>
          <w:kern w:val="0"/>
          <w:szCs w:val="24"/>
          <w:lang w:eastAsia="es-ES_tradnl"/>
          <w14:ligatures w14:val="none"/>
        </w:rPr>
        <w:lastRenderedPageBreak/>
        <w:t xml:space="preserve">Hidalgo </w:t>
      </w:r>
      <w:proofErr w:type="spellStart"/>
      <w:r w:rsidRPr="00C3762A">
        <w:rPr>
          <w:rFonts w:eastAsia="Times New Roman" w:cs="Times New Roman"/>
          <w:color w:val="000000"/>
          <w:kern w:val="0"/>
          <w:szCs w:val="24"/>
          <w:lang w:eastAsia="es-ES_tradnl"/>
          <w14:ligatures w14:val="none"/>
        </w:rPr>
        <w:t>Pandares</w:t>
      </w:r>
      <w:proofErr w:type="spellEnd"/>
      <w:r w:rsidRPr="00C3762A">
        <w:rPr>
          <w:rFonts w:eastAsia="Times New Roman" w:cs="Times New Roman"/>
          <w:color w:val="000000"/>
          <w:kern w:val="0"/>
          <w:szCs w:val="24"/>
          <w:lang w:eastAsia="es-ES_tradnl"/>
          <w14:ligatures w14:val="none"/>
        </w:rPr>
        <w:t xml:space="preserve"> y el Magistrado Suplente Emilio Ramos González. En esta misma oportunidad se ratificó la ponencia al Magistrado Malaquías Gil Rodríguez.</w:t>
      </w:r>
    </w:p>
    <w:p w14:paraId="3D1243B7" w14:textId="77777777" w:rsidR="00C3762A" w:rsidRPr="00C3762A" w:rsidRDefault="00C3762A" w:rsidP="00C3762A">
      <w:pPr>
        <w:spacing w:line="420" w:lineRule="atLeast"/>
        <w:ind w:firstLine="680"/>
        <w:jc w:val="both"/>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val="es-ES_tradnl" w:eastAsia="es-ES_tradnl"/>
          <w14:ligatures w14:val="none"/>
        </w:rPr>
        <w:t>Realizado el estudio de las actas que conforman el expediente, pasa este Alto Tribunal a decidir con fundamento en los artículos 26, 253 y 257 de la Constitución de la República Bolivariana de Venezuela</w:t>
      </w:r>
      <w:r w:rsidRPr="00C3762A">
        <w:rPr>
          <w:rFonts w:eastAsia="Times New Roman" w:cs="Times New Roman"/>
          <w:color w:val="000000"/>
          <w:kern w:val="0"/>
          <w:szCs w:val="24"/>
          <w:lang w:eastAsia="es-ES_tradnl"/>
          <w14:ligatures w14:val="none"/>
        </w:rPr>
        <w:t>.</w:t>
      </w:r>
    </w:p>
    <w:p w14:paraId="00BC99BA" w14:textId="77777777" w:rsidR="00C3762A" w:rsidRPr="00C3762A" w:rsidRDefault="00C3762A" w:rsidP="00C3762A">
      <w:pPr>
        <w:spacing w:before="0" w:after="0"/>
        <w:ind w:firstLine="0"/>
        <w:jc w:val="center"/>
        <w:rPr>
          <w:rFonts w:eastAsia="Times New Roman" w:cs="Times New Roman"/>
          <w:color w:val="000000"/>
          <w:kern w:val="0"/>
          <w:sz w:val="28"/>
          <w:szCs w:val="28"/>
          <w:lang w:val="es-VE" w:eastAsia="es-ES_tradnl"/>
          <w14:ligatures w14:val="none"/>
        </w:rPr>
      </w:pPr>
      <w:r w:rsidRPr="00C3762A">
        <w:rPr>
          <w:rFonts w:eastAsia="Times New Roman" w:cs="Times New Roman"/>
          <w:b/>
          <w:bCs/>
          <w:color w:val="000000"/>
          <w:kern w:val="0"/>
          <w:szCs w:val="24"/>
          <w:lang w:val="es-VE" w:eastAsia="es-ES_tradnl"/>
          <w14:ligatures w14:val="none"/>
        </w:rPr>
        <w:t> </w:t>
      </w:r>
    </w:p>
    <w:p w14:paraId="5E622AAB" w14:textId="77777777" w:rsidR="00C3762A" w:rsidRPr="00C3762A" w:rsidRDefault="00C3762A" w:rsidP="00C3762A">
      <w:pPr>
        <w:spacing w:before="0" w:after="0"/>
        <w:ind w:firstLine="0"/>
        <w:jc w:val="center"/>
        <w:rPr>
          <w:rFonts w:eastAsia="Times New Roman" w:cs="Times New Roman"/>
          <w:color w:val="000000"/>
          <w:kern w:val="0"/>
          <w:sz w:val="28"/>
          <w:szCs w:val="28"/>
          <w:lang w:val="es-VE" w:eastAsia="es-ES_tradnl"/>
          <w14:ligatures w14:val="none"/>
        </w:rPr>
      </w:pPr>
      <w:r w:rsidRPr="00C3762A">
        <w:rPr>
          <w:rFonts w:eastAsia="Times New Roman" w:cs="Times New Roman"/>
          <w:b/>
          <w:bCs/>
          <w:color w:val="000000"/>
          <w:kern w:val="0"/>
          <w:szCs w:val="24"/>
          <w:lang w:val="es-VE" w:eastAsia="es-ES_tradnl"/>
          <w14:ligatures w14:val="none"/>
        </w:rPr>
        <w:t> </w:t>
      </w:r>
    </w:p>
    <w:p w14:paraId="770BC181" w14:textId="77777777" w:rsidR="00C3762A" w:rsidRPr="00C3762A" w:rsidRDefault="00C3762A" w:rsidP="00C3762A">
      <w:pPr>
        <w:spacing w:before="0" w:after="0"/>
        <w:ind w:firstLine="0"/>
        <w:jc w:val="center"/>
        <w:rPr>
          <w:rFonts w:eastAsia="Times New Roman" w:cs="Times New Roman"/>
          <w:color w:val="000000"/>
          <w:kern w:val="0"/>
          <w:sz w:val="28"/>
          <w:szCs w:val="28"/>
          <w:lang w:val="es-VE" w:eastAsia="es-ES_tradnl"/>
          <w14:ligatures w14:val="none"/>
        </w:rPr>
      </w:pPr>
      <w:r w:rsidRPr="00C3762A">
        <w:rPr>
          <w:rFonts w:eastAsia="Times New Roman" w:cs="Times New Roman"/>
          <w:b/>
          <w:bCs/>
          <w:color w:val="000000"/>
          <w:kern w:val="0"/>
          <w:szCs w:val="24"/>
          <w:lang w:val="es-VE" w:eastAsia="es-ES_tradnl"/>
          <w14:ligatures w14:val="none"/>
        </w:rPr>
        <w:t>I</w:t>
      </w:r>
    </w:p>
    <w:p w14:paraId="190B5FF0" w14:textId="77777777" w:rsidR="00C3762A" w:rsidRPr="00C3762A" w:rsidRDefault="00C3762A" w:rsidP="00C3762A">
      <w:pPr>
        <w:spacing w:before="0" w:after="0"/>
        <w:ind w:firstLine="0"/>
        <w:jc w:val="center"/>
        <w:rPr>
          <w:rFonts w:eastAsia="Times New Roman" w:cs="Times New Roman"/>
          <w:color w:val="000000"/>
          <w:kern w:val="0"/>
          <w:sz w:val="28"/>
          <w:szCs w:val="28"/>
          <w:lang w:val="es-VE" w:eastAsia="es-ES_tradnl"/>
          <w14:ligatures w14:val="none"/>
        </w:rPr>
      </w:pPr>
      <w:r w:rsidRPr="00C3762A">
        <w:rPr>
          <w:rFonts w:eastAsia="Times New Roman" w:cs="Times New Roman"/>
          <w:b/>
          <w:bCs/>
          <w:color w:val="000000"/>
          <w:kern w:val="0"/>
          <w:szCs w:val="24"/>
          <w:lang w:val="es-VE" w:eastAsia="es-ES_tradnl"/>
          <w14:ligatures w14:val="none"/>
        </w:rPr>
        <w:t>ANTECEDENTES</w:t>
      </w:r>
    </w:p>
    <w:p w14:paraId="646C2738" w14:textId="77777777" w:rsidR="00C3762A" w:rsidRPr="00C3762A" w:rsidRDefault="00C3762A" w:rsidP="00C3762A">
      <w:pPr>
        <w:spacing w:before="0" w:after="0"/>
        <w:ind w:firstLine="0"/>
        <w:jc w:val="center"/>
        <w:rPr>
          <w:rFonts w:eastAsia="Times New Roman" w:cs="Times New Roman"/>
          <w:color w:val="000000"/>
          <w:kern w:val="0"/>
          <w:sz w:val="28"/>
          <w:szCs w:val="28"/>
          <w:lang w:val="es-VE" w:eastAsia="es-ES_tradnl"/>
          <w14:ligatures w14:val="none"/>
        </w:rPr>
      </w:pPr>
      <w:r w:rsidRPr="00C3762A">
        <w:rPr>
          <w:rFonts w:eastAsia="Times New Roman" w:cs="Times New Roman"/>
          <w:b/>
          <w:bCs/>
          <w:color w:val="000000"/>
          <w:kern w:val="0"/>
          <w:szCs w:val="24"/>
          <w:lang w:val="es-VE" w:eastAsia="es-ES_tradnl"/>
          <w14:ligatures w14:val="none"/>
        </w:rPr>
        <w:t> </w:t>
      </w:r>
    </w:p>
    <w:p w14:paraId="24296F8E" w14:textId="77777777" w:rsidR="00C3762A" w:rsidRPr="00C3762A" w:rsidRDefault="00C3762A" w:rsidP="00C3762A">
      <w:pPr>
        <w:spacing w:before="0" w:after="0"/>
        <w:ind w:firstLine="0"/>
        <w:jc w:val="center"/>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val="es-VE" w:eastAsia="es-ES_tradnl"/>
          <w14:ligatures w14:val="none"/>
        </w:rPr>
        <w:t> </w:t>
      </w:r>
    </w:p>
    <w:p w14:paraId="64A956C0" w14:textId="77777777" w:rsidR="00C3762A" w:rsidRPr="00C3762A" w:rsidRDefault="00C3762A" w:rsidP="00C3762A">
      <w:pPr>
        <w:spacing w:before="0" w:after="0" w:line="420" w:lineRule="atLeast"/>
        <w:ind w:firstLine="680"/>
        <w:jc w:val="both"/>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shd w:val="clear" w:color="auto" w:fill="FFFFFF"/>
          <w:lang w:eastAsia="es-ES_tradnl"/>
          <w14:ligatures w14:val="none"/>
        </w:rPr>
        <w:t>Mediante Providencia Administrativa Nro. </w:t>
      </w:r>
      <w:r w:rsidRPr="00C3762A">
        <w:rPr>
          <w:rFonts w:eastAsia="Times New Roman" w:cs="Times New Roman"/>
          <w:color w:val="000000"/>
          <w:kern w:val="0"/>
          <w:szCs w:val="24"/>
          <w:shd w:val="clear" w:color="auto" w:fill="FFFFFF"/>
          <w:lang w:val="es-VE" w:eastAsia="es-ES_tradnl"/>
          <w14:ligatures w14:val="none"/>
        </w:rPr>
        <w:t>GEB/SAF/SAATEB/ DD/GIF/DV/023/2022</w:t>
      </w:r>
      <w:r w:rsidRPr="00C3762A">
        <w:rPr>
          <w:rFonts w:eastAsia="Times New Roman" w:cs="Times New Roman"/>
          <w:color w:val="000000"/>
          <w:kern w:val="0"/>
          <w:szCs w:val="24"/>
          <w:shd w:val="clear" w:color="auto" w:fill="FFFFFF"/>
          <w:lang w:eastAsia="es-ES_tradnl"/>
          <w14:ligatures w14:val="none"/>
        </w:rPr>
        <w:t xml:space="preserve"> de fecha 22 de febrero de 2022, notificada en esa misma fecha, se autorizó a la funcionaria Keila </w:t>
      </w:r>
      <w:proofErr w:type="spellStart"/>
      <w:r w:rsidRPr="00C3762A">
        <w:rPr>
          <w:rFonts w:eastAsia="Times New Roman" w:cs="Times New Roman"/>
          <w:color w:val="000000"/>
          <w:kern w:val="0"/>
          <w:szCs w:val="24"/>
          <w:shd w:val="clear" w:color="auto" w:fill="FFFFFF"/>
          <w:lang w:eastAsia="es-ES_tradnl"/>
          <w14:ligatures w14:val="none"/>
        </w:rPr>
        <w:t>Filgueira</w:t>
      </w:r>
      <w:proofErr w:type="spellEnd"/>
      <w:r w:rsidRPr="00C3762A">
        <w:rPr>
          <w:rFonts w:eastAsia="Times New Roman" w:cs="Times New Roman"/>
          <w:color w:val="000000"/>
          <w:kern w:val="0"/>
          <w:szCs w:val="24"/>
          <w:lang w:eastAsia="es-ES_tradnl"/>
          <w14:ligatures w14:val="none"/>
        </w:rPr>
        <w:t xml:space="preserve">, bajo la supervisión de la ciudadana Perla García, titulares de las cédulas de identidad </w:t>
      </w:r>
      <w:proofErr w:type="spellStart"/>
      <w:r w:rsidRPr="00C3762A">
        <w:rPr>
          <w:rFonts w:eastAsia="Times New Roman" w:cs="Times New Roman"/>
          <w:color w:val="000000"/>
          <w:kern w:val="0"/>
          <w:szCs w:val="24"/>
          <w:lang w:eastAsia="es-ES_tradnl"/>
          <w14:ligatures w14:val="none"/>
        </w:rPr>
        <w:t>Nros</w:t>
      </w:r>
      <w:proofErr w:type="spellEnd"/>
      <w:r w:rsidRPr="00C3762A">
        <w:rPr>
          <w:rFonts w:eastAsia="Times New Roman" w:cs="Times New Roman"/>
          <w:color w:val="000000"/>
          <w:kern w:val="0"/>
          <w:szCs w:val="24"/>
          <w:lang w:eastAsia="es-ES_tradnl"/>
          <w14:ligatures w14:val="none"/>
        </w:rPr>
        <w:t>. 23.551.385 y 16.589.628, respectivamente, </w:t>
      </w:r>
      <w:r w:rsidRPr="00C3762A">
        <w:rPr>
          <w:rFonts w:eastAsia="Times New Roman" w:cs="Times New Roman"/>
          <w:color w:val="000000"/>
          <w:kern w:val="0"/>
          <w:szCs w:val="24"/>
          <w:shd w:val="clear" w:color="auto" w:fill="FFFFFF"/>
          <w:lang w:eastAsia="es-ES_tradnl"/>
          <w14:ligatures w14:val="none"/>
        </w:rPr>
        <w:t>a los fines de “(...) </w:t>
      </w:r>
      <w:r w:rsidRPr="00C3762A">
        <w:rPr>
          <w:rFonts w:eastAsia="Times New Roman" w:cs="Times New Roman"/>
          <w:i/>
          <w:iCs/>
          <w:color w:val="000000"/>
          <w:kern w:val="0"/>
          <w:szCs w:val="24"/>
          <w:shd w:val="clear" w:color="auto" w:fill="FFFFFF"/>
          <w:lang w:eastAsia="es-ES_tradnl"/>
          <w14:ligatures w14:val="none"/>
        </w:rPr>
        <w:t>ejecutar procedimiento de Verificación al Ciudadano o Empresa antes identificado, con el fin de constatar el oportuno cumplimiento de la cancelación de la tasa establecida en el artículo 26 numeral 2 de la Ley de Reforma de la Ley de Timbre Fiscal del Estado Bolívar vigente; a través del uso de Estampillas o planilla forma 001, correspondiente a los ejercicios fiscales comprendidos desde el 01/01/2019 hasta el 31/01/2021 y hasta la presente fecha, sin perjuicio que con posterioridad esta administración tributaria estadal proceda a realizar una nueva verificación a los mismos ejercicios </w:t>
      </w:r>
      <w:r w:rsidRPr="00C3762A">
        <w:rPr>
          <w:rFonts w:eastAsia="Times New Roman" w:cs="Times New Roman"/>
          <w:color w:val="000000"/>
          <w:kern w:val="0"/>
          <w:szCs w:val="24"/>
          <w:shd w:val="clear" w:color="auto" w:fill="FFFFFF"/>
          <w:lang w:eastAsia="es-ES_tradnl"/>
          <w14:ligatures w14:val="none"/>
        </w:rPr>
        <w:t>(...)”. </w:t>
      </w:r>
    </w:p>
    <w:p w14:paraId="4F71FE7B" w14:textId="77777777" w:rsidR="00C3762A" w:rsidRPr="00C3762A" w:rsidRDefault="00C3762A" w:rsidP="00C3762A">
      <w:pPr>
        <w:spacing w:line="420" w:lineRule="atLeast"/>
        <w:ind w:firstLine="680"/>
        <w:jc w:val="both"/>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shd w:val="clear" w:color="auto" w:fill="FFFFFF"/>
          <w:lang w:eastAsia="es-ES_tradnl"/>
          <w14:ligatures w14:val="none"/>
        </w:rPr>
        <w:t>En </w:t>
      </w:r>
      <w:r w:rsidRPr="00C3762A">
        <w:rPr>
          <w:rFonts w:eastAsia="Times New Roman" w:cs="Times New Roman"/>
          <w:color w:val="000000"/>
          <w:kern w:val="0"/>
          <w:szCs w:val="24"/>
          <w:lang w:eastAsia="es-ES_tradnl"/>
          <w14:ligatures w14:val="none"/>
        </w:rPr>
        <w:t>25 de marzo de 2022</w:t>
      </w:r>
      <w:r w:rsidRPr="00C3762A">
        <w:rPr>
          <w:rFonts w:eastAsia="Times New Roman" w:cs="Times New Roman"/>
          <w:color w:val="000000"/>
          <w:kern w:val="0"/>
          <w:szCs w:val="24"/>
          <w:shd w:val="clear" w:color="auto" w:fill="FFFFFF"/>
          <w:lang w:eastAsia="es-ES_tradnl"/>
          <w14:ligatures w14:val="none"/>
        </w:rPr>
        <w:t>, la Administración Tributaria dictó la “</w:t>
      </w:r>
      <w:r w:rsidRPr="00C3762A">
        <w:rPr>
          <w:rFonts w:eastAsia="Times New Roman" w:cs="Times New Roman"/>
          <w:i/>
          <w:iCs/>
          <w:color w:val="000000"/>
          <w:kern w:val="0"/>
          <w:szCs w:val="24"/>
          <w:shd w:val="clear" w:color="auto" w:fill="FFFFFF"/>
          <w:lang w:eastAsia="es-ES_tradnl"/>
          <w14:ligatures w14:val="none"/>
        </w:rPr>
        <w:t>Resolución de Imposición de Sanción Nro. GEB/SAF/SAATEB/DD/ GIV/DV/002/2022</w:t>
      </w:r>
      <w:r w:rsidRPr="00C3762A">
        <w:rPr>
          <w:rFonts w:eastAsia="Times New Roman" w:cs="Times New Roman"/>
          <w:color w:val="000000"/>
          <w:kern w:val="0"/>
          <w:szCs w:val="24"/>
          <w:shd w:val="clear" w:color="auto" w:fill="FFFFFF"/>
          <w:lang w:eastAsia="es-ES_tradnl"/>
          <w14:ligatures w14:val="none"/>
        </w:rPr>
        <w:t>”, notificada el 4 de abril de 2022, en la que se dejó constancia de lo siguiente:</w:t>
      </w:r>
    </w:p>
    <w:p w14:paraId="633CA2C0" w14:textId="77777777" w:rsidR="00C3762A" w:rsidRPr="00C3762A" w:rsidRDefault="00C3762A" w:rsidP="00C3762A">
      <w:pPr>
        <w:jc w:val="both"/>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shd w:val="clear" w:color="auto" w:fill="FFFFFF"/>
          <w:lang w:eastAsia="es-ES_tradnl"/>
          <w14:ligatures w14:val="none"/>
        </w:rPr>
        <w:t>“(…)</w:t>
      </w:r>
    </w:p>
    <w:tbl>
      <w:tblPr>
        <w:tblW w:w="6915" w:type="dxa"/>
        <w:jc w:val="center"/>
        <w:tblCellMar>
          <w:left w:w="0" w:type="dxa"/>
          <w:right w:w="0" w:type="dxa"/>
        </w:tblCellMar>
        <w:tblLook w:val="04A0" w:firstRow="1" w:lastRow="0" w:firstColumn="1" w:lastColumn="0" w:noHBand="0" w:noVBand="1"/>
      </w:tblPr>
      <w:tblGrid>
        <w:gridCol w:w="3001"/>
        <w:gridCol w:w="1200"/>
        <w:gridCol w:w="1200"/>
        <w:gridCol w:w="1514"/>
      </w:tblGrid>
      <w:tr w:rsidR="00C3762A" w:rsidRPr="00C3762A" w14:paraId="7604DFCC" w14:textId="77777777" w:rsidTr="00C3762A">
        <w:trPr>
          <w:trHeight w:val="496"/>
          <w:jc w:val="center"/>
        </w:trPr>
        <w:tc>
          <w:tcPr>
            <w:tcW w:w="3001"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283C996F" w14:textId="77777777" w:rsidR="00C3762A" w:rsidRPr="00C3762A" w:rsidRDefault="00C3762A" w:rsidP="00C3762A">
            <w:pPr>
              <w:ind w:firstLine="0"/>
              <w:jc w:val="center"/>
              <w:rPr>
                <w:rFonts w:eastAsia="Times New Roman" w:cs="Times New Roman"/>
                <w:kern w:val="0"/>
                <w:sz w:val="28"/>
                <w:szCs w:val="28"/>
                <w:lang w:val="es-VE" w:eastAsia="es-ES_tradnl"/>
                <w14:ligatures w14:val="none"/>
              </w:rPr>
            </w:pPr>
            <w:r w:rsidRPr="00C3762A">
              <w:rPr>
                <w:rFonts w:eastAsia="Times New Roman" w:cs="Times New Roman"/>
                <w:b/>
                <w:bCs/>
                <w:i/>
                <w:iCs/>
                <w:color w:val="000000"/>
                <w:kern w:val="0"/>
                <w:szCs w:val="24"/>
                <w:lang w:val="es-VE" w:eastAsia="es-ES_tradnl"/>
                <w14:ligatures w14:val="none"/>
              </w:rPr>
              <w:t>Incumplimiento</w:t>
            </w:r>
          </w:p>
        </w:tc>
        <w:tc>
          <w:tcPr>
            <w:tcW w:w="1200"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37D71091" w14:textId="77777777" w:rsidR="00C3762A" w:rsidRPr="00C3762A" w:rsidRDefault="00C3762A" w:rsidP="00C3762A">
            <w:pPr>
              <w:ind w:firstLine="0"/>
              <w:jc w:val="center"/>
              <w:rPr>
                <w:rFonts w:eastAsia="Times New Roman" w:cs="Times New Roman"/>
                <w:kern w:val="0"/>
                <w:sz w:val="28"/>
                <w:szCs w:val="28"/>
                <w:lang w:val="es-VE" w:eastAsia="es-ES_tradnl"/>
                <w14:ligatures w14:val="none"/>
              </w:rPr>
            </w:pPr>
            <w:r w:rsidRPr="00C3762A">
              <w:rPr>
                <w:rFonts w:eastAsia="Times New Roman" w:cs="Times New Roman"/>
                <w:b/>
                <w:bCs/>
                <w:i/>
                <w:iCs/>
                <w:color w:val="000000"/>
                <w:kern w:val="0"/>
                <w:szCs w:val="24"/>
                <w:lang w:val="es-VE" w:eastAsia="es-ES_tradnl"/>
                <w14:ligatures w14:val="none"/>
              </w:rPr>
              <w:t>Art. LTEFEB Sanción</w:t>
            </w:r>
          </w:p>
        </w:tc>
        <w:tc>
          <w:tcPr>
            <w:tcW w:w="1200"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50A34AF7" w14:textId="77777777" w:rsidR="00C3762A" w:rsidRPr="00C3762A" w:rsidRDefault="00C3762A" w:rsidP="00C3762A">
            <w:pPr>
              <w:ind w:firstLine="0"/>
              <w:jc w:val="center"/>
              <w:rPr>
                <w:rFonts w:eastAsia="Times New Roman" w:cs="Times New Roman"/>
                <w:kern w:val="0"/>
                <w:sz w:val="28"/>
                <w:szCs w:val="28"/>
                <w:lang w:val="es-VE" w:eastAsia="es-ES_tradnl"/>
                <w14:ligatures w14:val="none"/>
              </w:rPr>
            </w:pPr>
            <w:r w:rsidRPr="00C3762A">
              <w:rPr>
                <w:rFonts w:eastAsia="Times New Roman" w:cs="Times New Roman"/>
                <w:b/>
                <w:bCs/>
                <w:i/>
                <w:iCs/>
                <w:color w:val="000000"/>
                <w:kern w:val="0"/>
                <w:szCs w:val="24"/>
                <w:lang w:val="es-VE" w:eastAsia="es-ES_tradnl"/>
                <w14:ligatures w14:val="none"/>
              </w:rPr>
              <w:t>Sanción Aplicable</w:t>
            </w:r>
          </w:p>
        </w:tc>
        <w:tc>
          <w:tcPr>
            <w:tcW w:w="151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237FB9BA" w14:textId="77777777" w:rsidR="00C3762A" w:rsidRPr="00C3762A" w:rsidRDefault="00C3762A" w:rsidP="00C3762A">
            <w:pPr>
              <w:ind w:firstLine="0"/>
              <w:jc w:val="center"/>
              <w:rPr>
                <w:rFonts w:eastAsia="Times New Roman" w:cs="Times New Roman"/>
                <w:kern w:val="0"/>
                <w:sz w:val="28"/>
                <w:szCs w:val="28"/>
                <w:lang w:val="es-VE" w:eastAsia="es-ES_tradnl"/>
                <w14:ligatures w14:val="none"/>
              </w:rPr>
            </w:pPr>
            <w:r w:rsidRPr="00C3762A">
              <w:rPr>
                <w:rFonts w:eastAsia="Times New Roman" w:cs="Times New Roman"/>
                <w:b/>
                <w:bCs/>
                <w:i/>
                <w:iCs/>
                <w:color w:val="000000"/>
                <w:kern w:val="0"/>
                <w:szCs w:val="24"/>
                <w:lang w:val="es-VE" w:eastAsia="es-ES_tradnl"/>
                <w14:ligatures w14:val="none"/>
              </w:rPr>
              <w:t>Concurrencia Art. 82 COT</w:t>
            </w:r>
          </w:p>
        </w:tc>
      </w:tr>
      <w:tr w:rsidR="00C3762A" w:rsidRPr="00C3762A" w14:paraId="50C721A8" w14:textId="77777777" w:rsidTr="00C3762A">
        <w:trPr>
          <w:trHeight w:val="661"/>
          <w:jc w:val="center"/>
        </w:trPr>
        <w:tc>
          <w:tcPr>
            <w:tcW w:w="3001"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40A7D09" w14:textId="77777777" w:rsidR="00C3762A" w:rsidRPr="00C3762A" w:rsidRDefault="00C3762A" w:rsidP="00C3762A">
            <w:pPr>
              <w:ind w:firstLine="0"/>
              <w:jc w:val="both"/>
              <w:rPr>
                <w:rFonts w:eastAsia="Times New Roman" w:cs="Times New Roman"/>
                <w:kern w:val="0"/>
                <w:sz w:val="28"/>
                <w:szCs w:val="28"/>
                <w:lang w:val="es-VE" w:eastAsia="es-ES_tradnl"/>
                <w14:ligatures w14:val="none"/>
              </w:rPr>
            </w:pPr>
            <w:r w:rsidRPr="00C3762A">
              <w:rPr>
                <w:rFonts w:eastAsia="Times New Roman" w:cs="Times New Roman"/>
                <w:i/>
                <w:iCs/>
                <w:color w:val="000000"/>
                <w:kern w:val="0"/>
                <w:szCs w:val="24"/>
                <w:lang w:val="es-VE" w:eastAsia="es-ES_tradnl"/>
                <w14:ligatures w14:val="none"/>
              </w:rPr>
              <w:t xml:space="preserve">Pago fuera del plazo de la tasa de timbre fiscal renovación de Autorización </w:t>
            </w:r>
            <w:r w:rsidRPr="00C3762A">
              <w:rPr>
                <w:rFonts w:eastAsia="Times New Roman" w:cs="Times New Roman"/>
                <w:i/>
                <w:iCs/>
                <w:color w:val="000000"/>
                <w:kern w:val="0"/>
                <w:szCs w:val="24"/>
                <w:lang w:val="es-VE" w:eastAsia="es-ES_tradnl"/>
                <w14:ligatures w14:val="none"/>
              </w:rPr>
              <w:lastRenderedPageBreak/>
              <w:t>de Expendio de Licores ejercicio fiscal 2019 MY-149</w:t>
            </w:r>
          </w:p>
        </w:tc>
        <w:tc>
          <w:tcPr>
            <w:tcW w:w="120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16B99B7" w14:textId="77777777" w:rsidR="00C3762A" w:rsidRPr="00C3762A" w:rsidRDefault="00C3762A" w:rsidP="00C3762A">
            <w:pPr>
              <w:ind w:firstLine="0"/>
              <w:jc w:val="center"/>
              <w:rPr>
                <w:rFonts w:eastAsia="Times New Roman" w:cs="Times New Roman"/>
                <w:kern w:val="0"/>
                <w:sz w:val="28"/>
                <w:szCs w:val="28"/>
                <w:lang w:val="es-VE" w:eastAsia="es-ES_tradnl"/>
                <w14:ligatures w14:val="none"/>
              </w:rPr>
            </w:pPr>
            <w:r w:rsidRPr="00C3762A">
              <w:rPr>
                <w:rFonts w:eastAsia="Times New Roman" w:cs="Times New Roman"/>
                <w:i/>
                <w:iCs/>
                <w:color w:val="000000"/>
                <w:kern w:val="0"/>
                <w:szCs w:val="24"/>
                <w:lang w:val="es-VE" w:eastAsia="es-ES_tradnl"/>
                <w14:ligatures w14:val="none"/>
              </w:rPr>
              <w:lastRenderedPageBreak/>
              <w:t>86 Numeral 2</w:t>
            </w:r>
          </w:p>
        </w:tc>
        <w:tc>
          <w:tcPr>
            <w:tcW w:w="12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7F4B3FB" w14:textId="77777777" w:rsidR="00C3762A" w:rsidRPr="00C3762A" w:rsidRDefault="00C3762A" w:rsidP="00C3762A">
            <w:pPr>
              <w:ind w:firstLine="0"/>
              <w:jc w:val="center"/>
              <w:rPr>
                <w:rFonts w:eastAsia="Times New Roman" w:cs="Times New Roman"/>
                <w:kern w:val="0"/>
                <w:sz w:val="28"/>
                <w:szCs w:val="28"/>
                <w:lang w:val="es-VE" w:eastAsia="es-ES_tradnl"/>
                <w14:ligatures w14:val="none"/>
              </w:rPr>
            </w:pPr>
            <w:r w:rsidRPr="00C3762A">
              <w:rPr>
                <w:rFonts w:eastAsia="Times New Roman" w:cs="Times New Roman"/>
                <w:i/>
                <w:iCs/>
                <w:color w:val="000000"/>
                <w:kern w:val="0"/>
                <w:szCs w:val="24"/>
                <w:lang w:val="es-VE" w:eastAsia="es-ES_tradnl"/>
                <w14:ligatures w14:val="none"/>
              </w:rPr>
              <w:t>250 UT</w:t>
            </w:r>
          </w:p>
        </w:tc>
        <w:tc>
          <w:tcPr>
            <w:tcW w:w="151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1A98E5C" w14:textId="77777777" w:rsidR="00C3762A" w:rsidRPr="00C3762A" w:rsidRDefault="00C3762A" w:rsidP="00C3762A">
            <w:pPr>
              <w:ind w:firstLine="0"/>
              <w:jc w:val="center"/>
              <w:rPr>
                <w:rFonts w:eastAsia="Times New Roman" w:cs="Times New Roman"/>
                <w:kern w:val="0"/>
                <w:sz w:val="28"/>
                <w:szCs w:val="28"/>
                <w:lang w:val="es-VE" w:eastAsia="es-ES_tradnl"/>
                <w14:ligatures w14:val="none"/>
              </w:rPr>
            </w:pPr>
            <w:r w:rsidRPr="00C3762A">
              <w:rPr>
                <w:rFonts w:eastAsia="Times New Roman" w:cs="Times New Roman"/>
                <w:i/>
                <w:iCs/>
                <w:color w:val="000000"/>
                <w:kern w:val="0"/>
                <w:szCs w:val="24"/>
                <w:lang w:val="es-VE" w:eastAsia="es-ES_tradnl"/>
                <w14:ligatures w14:val="none"/>
              </w:rPr>
              <w:t>250 UT</w:t>
            </w:r>
          </w:p>
        </w:tc>
      </w:tr>
      <w:tr w:rsidR="00C3762A" w:rsidRPr="00C3762A" w14:paraId="500150CD" w14:textId="77777777" w:rsidTr="00C3762A">
        <w:trPr>
          <w:trHeight w:val="401"/>
          <w:jc w:val="center"/>
        </w:trPr>
        <w:tc>
          <w:tcPr>
            <w:tcW w:w="3001"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26319C1" w14:textId="77777777" w:rsidR="00C3762A" w:rsidRPr="00C3762A" w:rsidRDefault="00C3762A" w:rsidP="00C3762A">
            <w:pPr>
              <w:ind w:firstLine="0"/>
              <w:jc w:val="both"/>
              <w:rPr>
                <w:rFonts w:eastAsia="Times New Roman" w:cs="Times New Roman"/>
                <w:kern w:val="0"/>
                <w:sz w:val="28"/>
                <w:szCs w:val="28"/>
                <w:lang w:val="es-VE" w:eastAsia="es-ES_tradnl"/>
                <w14:ligatures w14:val="none"/>
              </w:rPr>
            </w:pPr>
            <w:r w:rsidRPr="00C3762A">
              <w:rPr>
                <w:rFonts w:eastAsia="Times New Roman" w:cs="Times New Roman"/>
                <w:i/>
                <w:iCs/>
                <w:color w:val="000000"/>
                <w:kern w:val="0"/>
                <w:szCs w:val="24"/>
                <w:lang w:val="es-VE" w:eastAsia="es-ES_tradnl"/>
                <w14:ligatures w14:val="none"/>
              </w:rPr>
              <w:t>Pago fuera del plazo de la tasa de timbre fiscal renovación de Autorización de Expendio de Licores ejercicio fiscal 2020 MY-149</w:t>
            </w:r>
          </w:p>
        </w:tc>
        <w:tc>
          <w:tcPr>
            <w:tcW w:w="120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EDFADEC" w14:textId="77777777" w:rsidR="00C3762A" w:rsidRPr="00C3762A" w:rsidRDefault="00C3762A" w:rsidP="00C3762A">
            <w:pPr>
              <w:ind w:firstLine="0"/>
              <w:jc w:val="center"/>
              <w:rPr>
                <w:rFonts w:eastAsia="Times New Roman" w:cs="Times New Roman"/>
                <w:kern w:val="0"/>
                <w:sz w:val="28"/>
                <w:szCs w:val="28"/>
                <w:lang w:val="es-VE" w:eastAsia="es-ES_tradnl"/>
                <w14:ligatures w14:val="none"/>
              </w:rPr>
            </w:pPr>
            <w:r w:rsidRPr="00C3762A">
              <w:rPr>
                <w:rFonts w:eastAsia="Times New Roman" w:cs="Times New Roman"/>
                <w:i/>
                <w:iCs/>
                <w:color w:val="000000"/>
                <w:kern w:val="0"/>
                <w:szCs w:val="24"/>
                <w:lang w:val="es-VE" w:eastAsia="es-ES_tradnl"/>
                <w14:ligatures w14:val="none"/>
              </w:rPr>
              <w:t>86 Numeral 2</w:t>
            </w:r>
          </w:p>
        </w:tc>
        <w:tc>
          <w:tcPr>
            <w:tcW w:w="12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620020A" w14:textId="77777777" w:rsidR="00C3762A" w:rsidRPr="00C3762A" w:rsidRDefault="00C3762A" w:rsidP="00C3762A">
            <w:pPr>
              <w:ind w:firstLine="0"/>
              <w:jc w:val="center"/>
              <w:rPr>
                <w:rFonts w:eastAsia="Times New Roman" w:cs="Times New Roman"/>
                <w:kern w:val="0"/>
                <w:sz w:val="28"/>
                <w:szCs w:val="28"/>
                <w:lang w:val="es-VE" w:eastAsia="es-ES_tradnl"/>
                <w14:ligatures w14:val="none"/>
              </w:rPr>
            </w:pPr>
            <w:r w:rsidRPr="00C3762A">
              <w:rPr>
                <w:rFonts w:eastAsia="Times New Roman" w:cs="Times New Roman"/>
                <w:i/>
                <w:iCs/>
                <w:color w:val="000000"/>
                <w:kern w:val="0"/>
                <w:szCs w:val="24"/>
                <w:lang w:val="es-VE" w:eastAsia="es-ES_tradnl"/>
                <w14:ligatures w14:val="none"/>
              </w:rPr>
              <w:t>250 UT</w:t>
            </w:r>
          </w:p>
        </w:tc>
        <w:tc>
          <w:tcPr>
            <w:tcW w:w="151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4FB192B" w14:textId="77777777" w:rsidR="00C3762A" w:rsidRPr="00C3762A" w:rsidRDefault="00C3762A" w:rsidP="00C3762A">
            <w:pPr>
              <w:ind w:firstLine="0"/>
              <w:jc w:val="center"/>
              <w:rPr>
                <w:rFonts w:eastAsia="Times New Roman" w:cs="Times New Roman"/>
                <w:kern w:val="0"/>
                <w:sz w:val="28"/>
                <w:szCs w:val="28"/>
                <w:lang w:val="es-VE" w:eastAsia="es-ES_tradnl"/>
                <w14:ligatures w14:val="none"/>
              </w:rPr>
            </w:pPr>
            <w:r w:rsidRPr="00C3762A">
              <w:rPr>
                <w:rFonts w:eastAsia="Times New Roman" w:cs="Times New Roman"/>
                <w:i/>
                <w:iCs/>
                <w:color w:val="000000"/>
                <w:kern w:val="0"/>
                <w:szCs w:val="24"/>
                <w:lang w:val="es-VE" w:eastAsia="es-ES_tradnl"/>
                <w14:ligatures w14:val="none"/>
              </w:rPr>
              <w:t>125 UT</w:t>
            </w:r>
          </w:p>
        </w:tc>
      </w:tr>
      <w:tr w:rsidR="00C3762A" w:rsidRPr="00C3762A" w14:paraId="5C304ACD" w14:textId="77777777" w:rsidTr="00C3762A">
        <w:trPr>
          <w:trHeight w:val="554"/>
          <w:jc w:val="center"/>
        </w:trPr>
        <w:tc>
          <w:tcPr>
            <w:tcW w:w="3001"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D859B91" w14:textId="77777777" w:rsidR="00C3762A" w:rsidRPr="00C3762A" w:rsidRDefault="00C3762A" w:rsidP="00C3762A">
            <w:pPr>
              <w:ind w:firstLine="0"/>
              <w:jc w:val="both"/>
              <w:rPr>
                <w:rFonts w:eastAsia="Times New Roman" w:cs="Times New Roman"/>
                <w:kern w:val="0"/>
                <w:sz w:val="28"/>
                <w:szCs w:val="28"/>
                <w:lang w:val="es-VE" w:eastAsia="es-ES_tradnl"/>
                <w14:ligatures w14:val="none"/>
              </w:rPr>
            </w:pPr>
            <w:r w:rsidRPr="00C3762A">
              <w:rPr>
                <w:rFonts w:eastAsia="Times New Roman" w:cs="Times New Roman"/>
                <w:i/>
                <w:iCs/>
                <w:color w:val="000000"/>
                <w:kern w:val="0"/>
                <w:szCs w:val="24"/>
                <w:lang w:val="es-VE" w:eastAsia="es-ES_tradnl"/>
                <w14:ligatures w14:val="none"/>
              </w:rPr>
              <w:t>Pago fuera del plazo de la tasa de timbre fiscal renovación de Autorización de Expendio de Licores ejercicio fiscal 2021 MY-149</w:t>
            </w:r>
          </w:p>
        </w:tc>
        <w:tc>
          <w:tcPr>
            <w:tcW w:w="120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9ADF45F" w14:textId="77777777" w:rsidR="00C3762A" w:rsidRPr="00C3762A" w:rsidRDefault="00C3762A" w:rsidP="00C3762A">
            <w:pPr>
              <w:ind w:firstLine="0"/>
              <w:jc w:val="center"/>
              <w:rPr>
                <w:rFonts w:eastAsia="Times New Roman" w:cs="Times New Roman"/>
                <w:kern w:val="0"/>
                <w:sz w:val="28"/>
                <w:szCs w:val="28"/>
                <w:lang w:val="es-VE" w:eastAsia="es-ES_tradnl"/>
                <w14:ligatures w14:val="none"/>
              </w:rPr>
            </w:pPr>
            <w:r w:rsidRPr="00C3762A">
              <w:rPr>
                <w:rFonts w:eastAsia="Times New Roman" w:cs="Times New Roman"/>
                <w:i/>
                <w:iCs/>
                <w:color w:val="000000"/>
                <w:kern w:val="0"/>
                <w:szCs w:val="24"/>
                <w:lang w:val="es-VE" w:eastAsia="es-ES_tradnl"/>
                <w14:ligatures w14:val="none"/>
              </w:rPr>
              <w:t>86 Numeral 2</w:t>
            </w:r>
          </w:p>
        </w:tc>
        <w:tc>
          <w:tcPr>
            <w:tcW w:w="12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184D387" w14:textId="77777777" w:rsidR="00C3762A" w:rsidRPr="00C3762A" w:rsidRDefault="00C3762A" w:rsidP="00C3762A">
            <w:pPr>
              <w:ind w:firstLine="0"/>
              <w:jc w:val="center"/>
              <w:rPr>
                <w:rFonts w:eastAsia="Times New Roman" w:cs="Times New Roman"/>
                <w:kern w:val="0"/>
                <w:sz w:val="28"/>
                <w:szCs w:val="28"/>
                <w:lang w:val="es-VE" w:eastAsia="es-ES_tradnl"/>
                <w14:ligatures w14:val="none"/>
              </w:rPr>
            </w:pPr>
            <w:r w:rsidRPr="00C3762A">
              <w:rPr>
                <w:rFonts w:eastAsia="Times New Roman" w:cs="Times New Roman"/>
                <w:i/>
                <w:iCs/>
                <w:color w:val="000000"/>
                <w:kern w:val="0"/>
                <w:szCs w:val="24"/>
                <w:lang w:val="es-VE" w:eastAsia="es-ES_tradnl"/>
                <w14:ligatures w14:val="none"/>
              </w:rPr>
              <w:t>250 UT</w:t>
            </w:r>
          </w:p>
        </w:tc>
        <w:tc>
          <w:tcPr>
            <w:tcW w:w="151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FB3B4E9" w14:textId="77777777" w:rsidR="00C3762A" w:rsidRPr="00C3762A" w:rsidRDefault="00C3762A" w:rsidP="00C3762A">
            <w:pPr>
              <w:ind w:firstLine="0"/>
              <w:jc w:val="center"/>
              <w:rPr>
                <w:rFonts w:eastAsia="Times New Roman" w:cs="Times New Roman"/>
                <w:kern w:val="0"/>
                <w:sz w:val="28"/>
                <w:szCs w:val="28"/>
                <w:lang w:val="es-VE" w:eastAsia="es-ES_tradnl"/>
                <w14:ligatures w14:val="none"/>
              </w:rPr>
            </w:pPr>
            <w:r w:rsidRPr="00C3762A">
              <w:rPr>
                <w:rFonts w:eastAsia="Times New Roman" w:cs="Times New Roman"/>
                <w:i/>
                <w:iCs/>
                <w:color w:val="000000"/>
                <w:kern w:val="0"/>
                <w:szCs w:val="24"/>
                <w:lang w:val="es-VE" w:eastAsia="es-ES_tradnl"/>
                <w14:ligatures w14:val="none"/>
              </w:rPr>
              <w:t>125 UT</w:t>
            </w:r>
          </w:p>
        </w:tc>
      </w:tr>
      <w:tr w:rsidR="00C3762A" w:rsidRPr="00C3762A" w14:paraId="21890A53" w14:textId="77777777" w:rsidTr="00C3762A">
        <w:trPr>
          <w:trHeight w:val="408"/>
          <w:jc w:val="center"/>
        </w:trPr>
        <w:tc>
          <w:tcPr>
            <w:tcW w:w="3001"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3B27390" w14:textId="77777777" w:rsidR="00C3762A" w:rsidRPr="00C3762A" w:rsidRDefault="00C3762A" w:rsidP="00C3762A">
            <w:pPr>
              <w:ind w:firstLine="0"/>
              <w:jc w:val="both"/>
              <w:rPr>
                <w:rFonts w:eastAsia="Times New Roman" w:cs="Times New Roman"/>
                <w:kern w:val="0"/>
                <w:sz w:val="28"/>
                <w:szCs w:val="28"/>
                <w:lang w:val="es-VE" w:eastAsia="es-ES_tradnl"/>
                <w14:ligatures w14:val="none"/>
              </w:rPr>
            </w:pPr>
            <w:r w:rsidRPr="00C3762A">
              <w:rPr>
                <w:rFonts w:eastAsia="Times New Roman" w:cs="Times New Roman"/>
                <w:i/>
                <w:iCs/>
                <w:color w:val="000000"/>
                <w:kern w:val="0"/>
                <w:szCs w:val="24"/>
                <w:lang w:val="es-VE" w:eastAsia="es-ES_tradnl"/>
                <w14:ligatures w14:val="none"/>
              </w:rPr>
              <w:t>Pago fuera del plazo de la tasa de timbre fiscal renovación de Autorización de Expendio de Licores ejercicio fiscal 2019 MN-323</w:t>
            </w:r>
          </w:p>
        </w:tc>
        <w:tc>
          <w:tcPr>
            <w:tcW w:w="120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0083407" w14:textId="77777777" w:rsidR="00C3762A" w:rsidRPr="00C3762A" w:rsidRDefault="00C3762A" w:rsidP="00C3762A">
            <w:pPr>
              <w:ind w:firstLine="0"/>
              <w:jc w:val="center"/>
              <w:rPr>
                <w:rFonts w:eastAsia="Times New Roman" w:cs="Times New Roman"/>
                <w:kern w:val="0"/>
                <w:sz w:val="28"/>
                <w:szCs w:val="28"/>
                <w:lang w:val="es-VE" w:eastAsia="es-ES_tradnl"/>
                <w14:ligatures w14:val="none"/>
              </w:rPr>
            </w:pPr>
            <w:r w:rsidRPr="00C3762A">
              <w:rPr>
                <w:rFonts w:eastAsia="Times New Roman" w:cs="Times New Roman"/>
                <w:i/>
                <w:iCs/>
                <w:color w:val="000000"/>
                <w:kern w:val="0"/>
                <w:szCs w:val="24"/>
                <w:lang w:val="es-VE" w:eastAsia="es-ES_tradnl"/>
                <w14:ligatures w14:val="none"/>
              </w:rPr>
              <w:t>86 Numeral 2</w:t>
            </w:r>
          </w:p>
        </w:tc>
        <w:tc>
          <w:tcPr>
            <w:tcW w:w="12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5C0CCC8" w14:textId="77777777" w:rsidR="00C3762A" w:rsidRPr="00C3762A" w:rsidRDefault="00C3762A" w:rsidP="00C3762A">
            <w:pPr>
              <w:ind w:firstLine="0"/>
              <w:jc w:val="center"/>
              <w:rPr>
                <w:rFonts w:eastAsia="Times New Roman" w:cs="Times New Roman"/>
                <w:kern w:val="0"/>
                <w:sz w:val="28"/>
                <w:szCs w:val="28"/>
                <w:lang w:val="es-VE" w:eastAsia="es-ES_tradnl"/>
                <w14:ligatures w14:val="none"/>
              </w:rPr>
            </w:pPr>
            <w:r w:rsidRPr="00C3762A">
              <w:rPr>
                <w:rFonts w:eastAsia="Times New Roman" w:cs="Times New Roman"/>
                <w:i/>
                <w:iCs/>
                <w:color w:val="000000"/>
                <w:kern w:val="0"/>
                <w:szCs w:val="24"/>
                <w:lang w:val="es-VE" w:eastAsia="es-ES_tradnl"/>
                <w14:ligatures w14:val="none"/>
              </w:rPr>
              <w:t>250 UT</w:t>
            </w:r>
          </w:p>
        </w:tc>
        <w:tc>
          <w:tcPr>
            <w:tcW w:w="151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07CDF23" w14:textId="77777777" w:rsidR="00C3762A" w:rsidRPr="00C3762A" w:rsidRDefault="00C3762A" w:rsidP="00C3762A">
            <w:pPr>
              <w:ind w:firstLine="0"/>
              <w:jc w:val="center"/>
              <w:rPr>
                <w:rFonts w:eastAsia="Times New Roman" w:cs="Times New Roman"/>
                <w:kern w:val="0"/>
                <w:sz w:val="28"/>
                <w:szCs w:val="28"/>
                <w:lang w:val="es-VE" w:eastAsia="es-ES_tradnl"/>
                <w14:ligatures w14:val="none"/>
              </w:rPr>
            </w:pPr>
            <w:r w:rsidRPr="00C3762A">
              <w:rPr>
                <w:rFonts w:eastAsia="Times New Roman" w:cs="Times New Roman"/>
                <w:i/>
                <w:iCs/>
                <w:color w:val="000000"/>
                <w:kern w:val="0"/>
                <w:szCs w:val="24"/>
                <w:lang w:val="es-VE" w:eastAsia="es-ES_tradnl"/>
                <w14:ligatures w14:val="none"/>
              </w:rPr>
              <w:t>125 UT</w:t>
            </w:r>
          </w:p>
        </w:tc>
      </w:tr>
      <w:tr w:rsidR="00C3762A" w:rsidRPr="00C3762A" w14:paraId="562AA2FC" w14:textId="77777777" w:rsidTr="00C3762A">
        <w:trPr>
          <w:trHeight w:val="418"/>
          <w:jc w:val="center"/>
        </w:trPr>
        <w:tc>
          <w:tcPr>
            <w:tcW w:w="3001"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15DC601" w14:textId="77777777" w:rsidR="00C3762A" w:rsidRPr="00C3762A" w:rsidRDefault="00C3762A" w:rsidP="00C3762A">
            <w:pPr>
              <w:ind w:firstLine="0"/>
              <w:jc w:val="both"/>
              <w:rPr>
                <w:rFonts w:eastAsia="Times New Roman" w:cs="Times New Roman"/>
                <w:kern w:val="0"/>
                <w:sz w:val="28"/>
                <w:szCs w:val="28"/>
                <w:lang w:val="es-VE" w:eastAsia="es-ES_tradnl"/>
                <w14:ligatures w14:val="none"/>
              </w:rPr>
            </w:pPr>
            <w:r w:rsidRPr="00C3762A">
              <w:rPr>
                <w:rFonts w:eastAsia="Times New Roman" w:cs="Times New Roman"/>
                <w:i/>
                <w:iCs/>
                <w:color w:val="000000"/>
                <w:kern w:val="0"/>
                <w:szCs w:val="24"/>
                <w:lang w:val="es-VE" w:eastAsia="es-ES_tradnl"/>
                <w14:ligatures w14:val="none"/>
              </w:rPr>
              <w:t>Pago fuera del plazo de la tasa de timbre fiscal renovación de Autorización de Expendio de Licores ejercicio fiscal 2020 MN-323</w:t>
            </w:r>
          </w:p>
        </w:tc>
        <w:tc>
          <w:tcPr>
            <w:tcW w:w="120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581E284" w14:textId="77777777" w:rsidR="00C3762A" w:rsidRPr="00C3762A" w:rsidRDefault="00C3762A" w:rsidP="00C3762A">
            <w:pPr>
              <w:ind w:firstLine="0"/>
              <w:jc w:val="center"/>
              <w:rPr>
                <w:rFonts w:eastAsia="Times New Roman" w:cs="Times New Roman"/>
                <w:kern w:val="0"/>
                <w:sz w:val="28"/>
                <w:szCs w:val="28"/>
                <w:lang w:val="es-VE" w:eastAsia="es-ES_tradnl"/>
                <w14:ligatures w14:val="none"/>
              </w:rPr>
            </w:pPr>
            <w:r w:rsidRPr="00C3762A">
              <w:rPr>
                <w:rFonts w:eastAsia="Times New Roman" w:cs="Times New Roman"/>
                <w:i/>
                <w:iCs/>
                <w:color w:val="000000"/>
                <w:kern w:val="0"/>
                <w:szCs w:val="24"/>
                <w:lang w:val="es-VE" w:eastAsia="es-ES_tradnl"/>
                <w14:ligatures w14:val="none"/>
              </w:rPr>
              <w:t>86 Numeral 2</w:t>
            </w:r>
          </w:p>
        </w:tc>
        <w:tc>
          <w:tcPr>
            <w:tcW w:w="12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2DBA6BE" w14:textId="77777777" w:rsidR="00C3762A" w:rsidRPr="00C3762A" w:rsidRDefault="00C3762A" w:rsidP="00C3762A">
            <w:pPr>
              <w:ind w:firstLine="0"/>
              <w:jc w:val="center"/>
              <w:rPr>
                <w:rFonts w:eastAsia="Times New Roman" w:cs="Times New Roman"/>
                <w:kern w:val="0"/>
                <w:sz w:val="28"/>
                <w:szCs w:val="28"/>
                <w:lang w:val="es-VE" w:eastAsia="es-ES_tradnl"/>
                <w14:ligatures w14:val="none"/>
              </w:rPr>
            </w:pPr>
            <w:r w:rsidRPr="00C3762A">
              <w:rPr>
                <w:rFonts w:eastAsia="Times New Roman" w:cs="Times New Roman"/>
                <w:i/>
                <w:iCs/>
                <w:color w:val="000000"/>
                <w:kern w:val="0"/>
                <w:szCs w:val="24"/>
                <w:lang w:val="es-VE" w:eastAsia="es-ES_tradnl"/>
                <w14:ligatures w14:val="none"/>
              </w:rPr>
              <w:t>250 UT</w:t>
            </w:r>
          </w:p>
        </w:tc>
        <w:tc>
          <w:tcPr>
            <w:tcW w:w="151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F9870C2" w14:textId="77777777" w:rsidR="00C3762A" w:rsidRPr="00C3762A" w:rsidRDefault="00C3762A" w:rsidP="00C3762A">
            <w:pPr>
              <w:ind w:firstLine="0"/>
              <w:jc w:val="center"/>
              <w:rPr>
                <w:rFonts w:eastAsia="Times New Roman" w:cs="Times New Roman"/>
                <w:kern w:val="0"/>
                <w:sz w:val="28"/>
                <w:szCs w:val="28"/>
                <w:lang w:val="es-VE" w:eastAsia="es-ES_tradnl"/>
                <w14:ligatures w14:val="none"/>
              </w:rPr>
            </w:pPr>
            <w:r w:rsidRPr="00C3762A">
              <w:rPr>
                <w:rFonts w:eastAsia="Times New Roman" w:cs="Times New Roman"/>
                <w:i/>
                <w:iCs/>
                <w:color w:val="000000"/>
                <w:kern w:val="0"/>
                <w:szCs w:val="24"/>
                <w:lang w:val="es-VE" w:eastAsia="es-ES_tradnl"/>
                <w14:ligatures w14:val="none"/>
              </w:rPr>
              <w:t>125 UT</w:t>
            </w:r>
          </w:p>
        </w:tc>
      </w:tr>
      <w:tr w:rsidR="00C3762A" w:rsidRPr="00C3762A" w14:paraId="5C17C7F3" w14:textId="77777777" w:rsidTr="00C3762A">
        <w:trPr>
          <w:trHeight w:val="569"/>
          <w:jc w:val="center"/>
        </w:trPr>
        <w:tc>
          <w:tcPr>
            <w:tcW w:w="3001"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CBB8C97" w14:textId="77777777" w:rsidR="00C3762A" w:rsidRPr="00C3762A" w:rsidRDefault="00C3762A" w:rsidP="00C3762A">
            <w:pPr>
              <w:ind w:firstLine="0"/>
              <w:jc w:val="both"/>
              <w:rPr>
                <w:rFonts w:eastAsia="Times New Roman" w:cs="Times New Roman"/>
                <w:kern w:val="0"/>
                <w:sz w:val="28"/>
                <w:szCs w:val="28"/>
                <w:lang w:val="es-VE" w:eastAsia="es-ES_tradnl"/>
                <w14:ligatures w14:val="none"/>
              </w:rPr>
            </w:pPr>
            <w:r w:rsidRPr="00C3762A">
              <w:rPr>
                <w:rFonts w:eastAsia="Times New Roman" w:cs="Times New Roman"/>
                <w:i/>
                <w:iCs/>
                <w:color w:val="000000"/>
                <w:kern w:val="0"/>
                <w:szCs w:val="24"/>
                <w:lang w:val="es-VE" w:eastAsia="es-ES_tradnl"/>
                <w14:ligatures w14:val="none"/>
              </w:rPr>
              <w:t>Pago fuera del plazo de la tasa de timbre fiscal renovación de Autorización de Expendio de Licores ejercicio fiscal 2021 MN-323</w:t>
            </w:r>
          </w:p>
        </w:tc>
        <w:tc>
          <w:tcPr>
            <w:tcW w:w="120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20D5E0B" w14:textId="77777777" w:rsidR="00C3762A" w:rsidRPr="00C3762A" w:rsidRDefault="00C3762A" w:rsidP="00C3762A">
            <w:pPr>
              <w:ind w:firstLine="0"/>
              <w:jc w:val="center"/>
              <w:rPr>
                <w:rFonts w:eastAsia="Times New Roman" w:cs="Times New Roman"/>
                <w:kern w:val="0"/>
                <w:sz w:val="28"/>
                <w:szCs w:val="28"/>
                <w:lang w:val="es-VE" w:eastAsia="es-ES_tradnl"/>
                <w14:ligatures w14:val="none"/>
              </w:rPr>
            </w:pPr>
            <w:r w:rsidRPr="00C3762A">
              <w:rPr>
                <w:rFonts w:eastAsia="Times New Roman" w:cs="Times New Roman"/>
                <w:i/>
                <w:iCs/>
                <w:color w:val="000000"/>
                <w:kern w:val="0"/>
                <w:szCs w:val="24"/>
                <w:lang w:val="es-VE" w:eastAsia="es-ES_tradnl"/>
                <w14:ligatures w14:val="none"/>
              </w:rPr>
              <w:t>86 Numeral 2</w:t>
            </w:r>
          </w:p>
        </w:tc>
        <w:tc>
          <w:tcPr>
            <w:tcW w:w="12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5DD6FA9" w14:textId="77777777" w:rsidR="00C3762A" w:rsidRPr="00C3762A" w:rsidRDefault="00C3762A" w:rsidP="00C3762A">
            <w:pPr>
              <w:ind w:firstLine="0"/>
              <w:jc w:val="center"/>
              <w:rPr>
                <w:rFonts w:eastAsia="Times New Roman" w:cs="Times New Roman"/>
                <w:kern w:val="0"/>
                <w:sz w:val="28"/>
                <w:szCs w:val="28"/>
                <w:lang w:val="es-VE" w:eastAsia="es-ES_tradnl"/>
                <w14:ligatures w14:val="none"/>
              </w:rPr>
            </w:pPr>
            <w:r w:rsidRPr="00C3762A">
              <w:rPr>
                <w:rFonts w:eastAsia="Times New Roman" w:cs="Times New Roman"/>
                <w:i/>
                <w:iCs/>
                <w:color w:val="000000"/>
                <w:kern w:val="0"/>
                <w:szCs w:val="24"/>
                <w:lang w:val="es-VE" w:eastAsia="es-ES_tradnl"/>
                <w14:ligatures w14:val="none"/>
              </w:rPr>
              <w:t>250 UT</w:t>
            </w:r>
          </w:p>
        </w:tc>
        <w:tc>
          <w:tcPr>
            <w:tcW w:w="151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B1191EC" w14:textId="77777777" w:rsidR="00C3762A" w:rsidRPr="00C3762A" w:rsidRDefault="00C3762A" w:rsidP="00C3762A">
            <w:pPr>
              <w:ind w:firstLine="0"/>
              <w:jc w:val="center"/>
              <w:rPr>
                <w:rFonts w:eastAsia="Times New Roman" w:cs="Times New Roman"/>
                <w:kern w:val="0"/>
                <w:sz w:val="28"/>
                <w:szCs w:val="28"/>
                <w:lang w:val="es-VE" w:eastAsia="es-ES_tradnl"/>
                <w14:ligatures w14:val="none"/>
              </w:rPr>
            </w:pPr>
            <w:r w:rsidRPr="00C3762A">
              <w:rPr>
                <w:rFonts w:eastAsia="Times New Roman" w:cs="Times New Roman"/>
                <w:i/>
                <w:iCs/>
                <w:color w:val="000000"/>
                <w:kern w:val="0"/>
                <w:szCs w:val="24"/>
                <w:lang w:val="es-VE" w:eastAsia="es-ES_tradnl"/>
                <w14:ligatures w14:val="none"/>
              </w:rPr>
              <w:t>125 UT</w:t>
            </w:r>
          </w:p>
        </w:tc>
      </w:tr>
      <w:tr w:rsidR="00C3762A" w:rsidRPr="00C3762A" w14:paraId="51A8AED5" w14:textId="77777777" w:rsidTr="00C3762A">
        <w:trPr>
          <w:trHeight w:val="47"/>
          <w:jc w:val="center"/>
        </w:trPr>
        <w:tc>
          <w:tcPr>
            <w:tcW w:w="3001"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75E9E7B" w14:textId="77777777" w:rsidR="00C3762A" w:rsidRPr="00C3762A" w:rsidRDefault="00C3762A" w:rsidP="00C3762A">
            <w:pPr>
              <w:ind w:firstLine="0"/>
              <w:jc w:val="right"/>
              <w:rPr>
                <w:rFonts w:eastAsia="Times New Roman" w:cs="Times New Roman"/>
                <w:kern w:val="0"/>
                <w:sz w:val="28"/>
                <w:szCs w:val="28"/>
                <w:lang w:val="es-VE" w:eastAsia="es-ES_tradnl"/>
                <w14:ligatures w14:val="none"/>
              </w:rPr>
            </w:pPr>
            <w:r w:rsidRPr="00C3762A">
              <w:rPr>
                <w:rFonts w:eastAsia="Times New Roman" w:cs="Times New Roman"/>
                <w:b/>
                <w:bCs/>
                <w:i/>
                <w:iCs/>
                <w:color w:val="000000"/>
                <w:kern w:val="0"/>
                <w:szCs w:val="24"/>
                <w:lang w:val="es-VE" w:eastAsia="es-ES_tradnl"/>
                <w14:ligatures w14:val="none"/>
              </w:rPr>
              <w:t>TOTAL U.T.</w:t>
            </w:r>
          </w:p>
        </w:tc>
        <w:tc>
          <w:tcPr>
            <w:tcW w:w="12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3F2890F" w14:textId="77777777" w:rsidR="00C3762A" w:rsidRPr="00C3762A" w:rsidRDefault="00C3762A" w:rsidP="00C3762A">
            <w:pPr>
              <w:ind w:firstLine="0"/>
              <w:jc w:val="center"/>
              <w:rPr>
                <w:rFonts w:eastAsia="Times New Roman" w:cs="Times New Roman"/>
                <w:kern w:val="0"/>
                <w:sz w:val="28"/>
                <w:szCs w:val="28"/>
                <w:lang w:val="es-VE" w:eastAsia="es-ES_tradnl"/>
                <w14:ligatures w14:val="none"/>
              </w:rPr>
            </w:pPr>
            <w:r w:rsidRPr="00C3762A">
              <w:rPr>
                <w:rFonts w:eastAsia="Times New Roman" w:cs="Times New Roman"/>
                <w:b/>
                <w:bCs/>
                <w:i/>
                <w:iCs/>
                <w:color w:val="000000"/>
                <w:kern w:val="0"/>
                <w:szCs w:val="24"/>
                <w:lang w:val="es-VE" w:eastAsia="es-ES_tradnl"/>
                <w14:ligatures w14:val="none"/>
              </w:rPr>
              <w:t> </w:t>
            </w:r>
          </w:p>
        </w:tc>
        <w:tc>
          <w:tcPr>
            <w:tcW w:w="12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A80DD04" w14:textId="77777777" w:rsidR="00C3762A" w:rsidRPr="00C3762A" w:rsidRDefault="00C3762A" w:rsidP="00C3762A">
            <w:pPr>
              <w:ind w:firstLine="0"/>
              <w:jc w:val="center"/>
              <w:rPr>
                <w:rFonts w:eastAsia="Times New Roman" w:cs="Times New Roman"/>
                <w:kern w:val="0"/>
                <w:sz w:val="28"/>
                <w:szCs w:val="28"/>
                <w:lang w:val="es-VE" w:eastAsia="es-ES_tradnl"/>
                <w14:ligatures w14:val="none"/>
              </w:rPr>
            </w:pPr>
            <w:r w:rsidRPr="00C3762A">
              <w:rPr>
                <w:rFonts w:eastAsia="Times New Roman" w:cs="Times New Roman"/>
                <w:b/>
                <w:bCs/>
                <w:i/>
                <w:iCs/>
                <w:color w:val="000000"/>
                <w:kern w:val="0"/>
                <w:szCs w:val="24"/>
                <w:lang w:val="es-VE" w:eastAsia="es-ES_tradnl"/>
                <w14:ligatures w14:val="none"/>
              </w:rPr>
              <w:t> </w:t>
            </w:r>
          </w:p>
        </w:tc>
        <w:tc>
          <w:tcPr>
            <w:tcW w:w="151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CABB0C1" w14:textId="77777777" w:rsidR="00C3762A" w:rsidRPr="00C3762A" w:rsidRDefault="00C3762A" w:rsidP="00C3762A">
            <w:pPr>
              <w:ind w:firstLine="0"/>
              <w:jc w:val="center"/>
              <w:rPr>
                <w:rFonts w:eastAsia="Times New Roman" w:cs="Times New Roman"/>
                <w:kern w:val="0"/>
                <w:sz w:val="28"/>
                <w:szCs w:val="28"/>
                <w:lang w:val="es-VE" w:eastAsia="es-ES_tradnl"/>
                <w14:ligatures w14:val="none"/>
              </w:rPr>
            </w:pPr>
            <w:r w:rsidRPr="00C3762A">
              <w:rPr>
                <w:rFonts w:eastAsia="Times New Roman" w:cs="Times New Roman"/>
                <w:b/>
                <w:bCs/>
                <w:i/>
                <w:iCs/>
                <w:color w:val="000000"/>
                <w:kern w:val="0"/>
                <w:szCs w:val="24"/>
                <w:lang w:val="es-VE" w:eastAsia="es-ES_tradnl"/>
                <w14:ligatures w14:val="none"/>
              </w:rPr>
              <w:t>875 U.T.</w:t>
            </w:r>
          </w:p>
        </w:tc>
      </w:tr>
    </w:tbl>
    <w:p w14:paraId="4F480F99" w14:textId="77777777" w:rsidR="00C3762A" w:rsidRPr="00C3762A" w:rsidRDefault="00C3762A" w:rsidP="00C3762A">
      <w:pPr>
        <w:ind w:firstLine="0"/>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eastAsia="es-ES_tradnl"/>
          <w14:ligatures w14:val="none"/>
        </w:rPr>
        <w:t> </w:t>
      </w:r>
    </w:p>
    <w:p w14:paraId="1A8B41D7" w14:textId="77777777" w:rsidR="00C3762A" w:rsidRPr="00C3762A" w:rsidRDefault="00C3762A" w:rsidP="00C3762A">
      <w:pPr>
        <w:jc w:val="center"/>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eastAsia="es-ES_tradnl"/>
          <w14:ligatures w14:val="none"/>
        </w:rPr>
        <w:t>(...</w:t>
      </w:r>
      <w:proofErr w:type="spellStart"/>
      <w:r w:rsidRPr="00C3762A">
        <w:rPr>
          <w:rFonts w:eastAsia="Times New Roman" w:cs="Times New Roman"/>
          <w:color w:val="000000"/>
          <w:kern w:val="0"/>
          <w:szCs w:val="24"/>
          <w:lang w:eastAsia="es-ES_tradnl"/>
          <w14:ligatures w14:val="none"/>
        </w:rPr>
        <w:t>Omissis</w:t>
      </w:r>
      <w:proofErr w:type="spellEnd"/>
      <w:r w:rsidRPr="00C3762A">
        <w:rPr>
          <w:rFonts w:eastAsia="Times New Roman" w:cs="Times New Roman"/>
          <w:color w:val="000000"/>
          <w:kern w:val="0"/>
          <w:szCs w:val="24"/>
          <w:lang w:eastAsia="es-ES_tradnl"/>
          <w14:ligatures w14:val="none"/>
        </w:rPr>
        <w:t>...)</w:t>
      </w:r>
    </w:p>
    <w:p w14:paraId="6B69A61A" w14:textId="77777777" w:rsidR="00C3762A" w:rsidRPr="00C3762A" w:rsidRDefault="00C3762A" w:rsidP="00C3762A">
      <w:pPr>
        <w:ind w:left="1134" w:right="907" w:firstLine="0"/>
        <w:jc w:val="both"/>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eastAsia="es-ES_tradnl"/>
          <w14:ligatures w14:val="none"/>
        </w:rPr>
        <w:t>(...) </w:t>
      </w:r>
      <w:r w:rsidRPr="00C3762A">
        <w:rPr>
          <w:rFonts w:eastAsia="Times New Roman" w:cs="Times New Roman"/>
          <w:i/>
          <w:iCs/>
          <w:color w:val="000000"/>
          <w:kern w:val="0"/>
          <w:szCs w:val="24"/>
          <w:lang w:eastAsia="es-ES_tradnl"/>
          <w14:ligatures w14:val="none"/>
        </w:rPr>
        <w:t>se procede a la graduación e imposición de sanción(es) en cumplimiento de lo establecido en el Decreto Constituyente que Dicta el Código Orgánico Tributario de fecha 29 de enero 2.020 (D.C.</w:t>
      </w:r>
      <w:proofErr w:type="gramStart"/>
      <w:r w:rsidRPr="00C3762A">
        <w:rPr>
          <w:rFonts w:eastAsia="Times New Roman" w:cs="Times New Roman"/>
          <w:i/>
          <w:iCs/>
          <w:color w:val="000000"/>
          <w:kern w:val="0"/>
          <w:szCs w:val="24"/>
          <w:lang w:eastAsia="es-ES_tradnl"/>
          <w14:ligatures w14:val="none"/>
        </w:rPr>
        <w:t>C.OT</w:t>
      </w:r>
      <w:proofErr w:type="gramEnd"/>
      <w:r w:rsidRPr="00C3762A">
        <w:rPr>
          <w:rFonts w:eastAsia="Times New Roman" w:cs="Times New Roman"/>
          <w:i/>
          <w:iCs/>
          <w:color w:val="000000"/>
          <w:kern w:val="0"/>
          <w:szCs w:val="24"/>
          <w:lang w:eastAsia="es-ES_tradnl"/>
          <w14:ligatures w14:val="none"/>
        </w:rPr>
        <w:t xml:space="preserve">) en sus artículos 82 y 343, concordante con el artículo 86 numeral 1 de la Ley de Timbre Fiscal del Estado Bolívar </w:t>
      </w:r>
      <w:proofErr w:type="spellStart"/>
      <w:r w:rsidRPr="00C3762A">
        <w:rPr>
          <w:rFonts w:eastAsia="Times New Roman" w:cs="Times New Roman"/>
          <w:i/>
          <w:iCs/>
          <w:color w:val="000000"/>
          <w:kern w:val="0"/>
          <w:szCs w:val="24"/>
          <w:lang w:eastAsia="es-ES_tradnl"/>
          <w14:ligatures w14:val="none"/>
        </w:rPr>
        <w:t>ratione</w:t>
      </w:r>
      <w:proofErr w:type="spellEnd"/>
      <w:r w:rsidRPr="00C3762A">
        <w:rPr>
          <w:rFonts w:eastAsia="Times New Roman" w:cs="Times New Roman"/>
          <w:i/>
          <w:iCs/>
          <w:color w:val="000000"/>
          <w:kern w:val="0"/>
          <w:szCs w:val="24"/>
          <w:lang w:eastAsia="es-ES_tradnl"/>
          <w14:ligatures w14:val="none"/>
        </w:rPr>
        <w:t xml:space="preserve"> </w:t>
      </w:r>
      <w:proofErr w:type="spellStart"/>
      <w:r w:rsidRPr="00C3762A">
        <w:rPr>
          <w:rFonts w:eastAsia="Times New Roman" w:cs="Times New Roman"/>
          <w:i/>
          <w:iCs/>
          <w:color w:val="000000"/>
          <w:kern w:val="0"/>
          <w:szCs w:val="24"/>
          <w:lang w:eastAsia="es-ES_tradnl"/>
          <w14:ligatures w14:val="none"/>
        </w:rPr>
        <w:t>temporis</w:t>
      </w:r>
      <w:proofErr w:type="spellEnd"/>
      <w:r w:rsidRPr="00C3762A">
        <w:rPr>
          <w:rFonts w:eastAsia="Times New Roman" w:cs="Times New Roman"/>
          <w:i/>
          <w:iCs/>
          <w:color w:val="000000"/>
          <w:kern w:val="0"/>
          <w:szCs w:val="24"/>
          <w:lang w:eastAsia="es-ES_tradnl"/>
          <w14:ligatures w14:val="none"/>
        </w:rPr>
        <w:t> </w:t>
      </w:r>
      <w:r w:rsidRPr="00C3762A">
        <w:rPr>
          <w:rFonts w:eastAsia="Times New Roman" w:cs="Times New Roman"/>
          <w:color w:val="000000"/>
          <w:kern w:val="0"/>
          <w:szCs w:val="24"/>
          <w:lang w:eastAsia="es-ES_tradnl"/>
          <w14:ligatures w14:val="none"/>
        </w:rPr>
        <w:t>(...)</w:t>
      </w:r>
    </w:p>
    <w:p w14:paraId="4F161AD9" w14:textId="77777777" w:rsidR="00C3762A" w:rsidRPr="00C3762A" w:rsidRDefault="00C3762A" w:rsidP="00C3762A">
      <w:pPr>
        <w:ind w:left="1134" w:right="907" w:firstLine="0"/>
        <w:jc w:val="center"/>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eastAsia="es-ES_tradnl"/>
          <w14:ligatures w14:val="none"/>
        </w:rPr>
        <w:t>(...</w:t>
      </w:r>
      <w:proofErr w:type="spellStart"/>
      <w:r w:rsidRPr="00C3762A">
        <w:rPr>
          <w:rFonts w:eastAsia="Times New Roman" w:cs="Times New Roman"/>
          <w:color w:val="000000"/>
          <w:kern w:val="0"/>
          <w:szCs w:val="24"/>
          <w:lang w:eastAsia="es-ES_tradnl"/>
          <w14:ligatures w14:val="none"/>
        </w:rPr>
        <w:t>Omissis</w:t>
      </w:r>
      <w:proofErr w:type="spellEnd"/>
      <w:r w:rsidRPr="00C3762A">
        <w:rPr>
          <w:rFonts w:eastAsia="Times New Roman" w:cs="Times New Roman"/>
          <w:color w:val="000000"/>
          <w:kern w:val="0"/>
          <w:szCs w:val="24"/>
          <w:lang w:eastAsia="es-ES_tradnl"/>
          <w14:ligatures w14:val="none"/>
        </w:rPr>
        <w:t>...)</w:t>
      </w:r>
    </w:p>
    <w:p w14:paraId="1E10C3C9" w14:textId="77777777" w:rsidR="00C3762A" w:rsidRPr="00C3762A" w:rsidRDefault="00C3762A" w:rsidP="00C3762A">
      <w:pPr>
        <w:ind w:left="1134" w:right="907" w:firstLine="0"/>
        <w:jc w:val="both"/>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eastAsia="es-ES_tradnl"/>
          <w14:ligatures w14:val="none"/>
        </w:rPr>
        <w:t> (…) </w:t>
      </w:r>
      <w:r w:rsidRPr="00C3762A">
        <w:rPr>
          <w:rFonts w:eastAsia="Times New Roman" w:cs="Times New Roman"/>
          <w:i/>
          <w:iCs/>
          <w:color w:val="000000"/>
          <w:kern w:val="0"/>
          <w:szCs w:val="24"/>
          <w:lang w:eastAsia="es-ES_tradnl"/>
          <w14:ligatures w14:val="none"/>
        </w:rPr>
        <w:t>Proceder a sancionar al sujeto pasivo </w:t>
      </w:r>
      <w:r w:rsidRPr="00C3762A">
        <w:rPr>
          <w:rFonts w:eastAsia="Times New Roman" w:cs="Times New Roman"/>
          <w:b/>
          <w:bCs/>
          <w:i/>
          <w:iCs/>
          <w:color w:val="000000"/>
          <w:kern w:val="0"/>
          <w:szCs w:val="24"/>
          <w:lang w:eastAsia="es-ES_tradnl"/>
          <w14:ligatures w14:val="none"/>
        </w:rPr>
        <w:t xml:space="preserve">LICORES LA ORQUIDEA, C.A., RIF J-30027457-8, CON LICENCIA PARA </w:t>
      </w:r>
      <w:r w:rsidRPr="00C3762A">
        <w:rPr>
          <w:rFonts w:eastAsia="Times New Roman" w:cs="Times New Roman"/>
          <w:b/>
          <w:bCs/>
          <w:i/>
          <w:iCs/>
          <w:color w:val="000000"/>
          <w:kern w:val="0"/>
          <w:szCs w:val="24"/>
          <w:lang w:eastAsia="es-ES_tradnl"/>
          <w14:ligatures w14:val="none"/>
        </w:rPr>
        <w:lastRenderedPageBreak/>
        <w:t>EXPENDIO DE LICORES N°: MY-149 Y MN-323 </w:t>
      </w:r>
      <w:r w:rsidRPr="00C3762A">
        <w:rPr>
          <w:rFonts w:eastAsia="Times New Roman" w:cs="Times New Roman"/>
          <w:i/>
          <w:iCs/>
          <w:color w:val="000000"/>
          <w:kern w:val="0"/>
          <w:szCs w:val="24"/>
          <w:lang w:eastAsia="es-ES_tradnl"/>
          <w14:ligatures w14:val="none"/>
        </w:rPr>
        <w:t>y con multa total de </w:t>
      </w:r>
      <w:r w:rsidRPr="00C3762A">
        <w:rPr>
          <w:rFonts w:eastAsia="Times New Roman" w:cs="Times New Roman"/>
          <w:b/>
          <w:bCs/>
          <w:i/>
          <w:iCs/>
          <w:color w:val="000000"/>
          <w:kern w:val="0"/>
          <w:szCs w:val="24"/>
          <w:lang w:eastAsia="es-ES_tradnl"/>
          <w14:ligatures w14:val="none"/>
        </w:rPr>
        <w:t>OCHOCIENTAS SETENTA Y CINCO UNIDADES TRIBUTARIAS (875 U.T.)</w:t>
      </w:r>
      <w:r w:rsidRPr="00C3762A">
        <w:rPr>
          <w:rFonts w:eastAsia="Times New Roman" w:cs="Times New Roman"/>
          <w:i/>
          <w:iCs/>
          <w:color w:val="000000"/>
          <w:kern w:val="0"/>
          <w:szCs w:val="24"/>
          <w:lang w:eastAsia="es-ES_tradnl"/>
          <w14:ligatures w14:val="none"/>
        </w:rPr>
        <w:t> actualmente Unidades Tributarias Estadales, convertidas en Bolívares al valor de las mismas para el momento del pago, actualmente Bs. </w:t>
      </w:r>
      <w:r w:rsidRPr="00C3762A">
        <w:rPr>
          <w:rFonts w:eastAsia="Times New Roman" w:cs="Times New Roman"/>
          <w:b/>
          <w:bCs/>
          <w:i/>
          <w:iCs/>
          <w:color w:val="000000"/>
          <w:kern w:val="0"/>
          <w:szCs w:val="24"/>
          <w:lang w:eastAsia="es-ES_tradnl"/>
          <w14:ligatures w14:val="none"/>
        </w:rPr>
        <w:t>0.80 Bs </w:t>
      </w:r>
      <w:r w:rsidRPr="00C3762A">
        <w:rPr>
          <w:rFonts w:eastAsia="Times New Roman" w:cs="Times New Roman"/>
          <w:i/>
          <w:iCs/>
          <w:color w:val="000000"/>
          <w:kern w:val="0"/>
          <w:szCs w:val="24"/>
          <w:lang w:eastAsia="es-ES_tradnl"/>
          <w14:ligatures w14:val="none"/>
        </w:rPr>
        <w:t>por U.T.E., es decir, </w:t>
      </w:r>
      <w:r w:rsidRPr="00C3762A">
        <w:rPr>
          <w:rFonts w:eastAsia="Times New Roman" w:cs="Times New Roman"/>
          <w:b/>
          <w:bCs/>
          <w:i/>
          <w:iCs/>
          <w:color w:val="000000"/>
          <w:kern w:val="0"/>
          <w:szCs w:val="24"/>
          <w:lang w:eastAsia="es-ES_tradnl"/>
          <w14:ligatures w14:val="none"/>
        </w:rPr>
        <w:t>SETECIENTOS BOLÍVARES DIGITALES (Bs. 700,00) </w:t>
      </w:r>
      <w:r w:rsidRPr="00C3762A">
        <w:rPr>
          <w:rFonts w:eastAsia="Times New Roman" w:cs="Times New Roman"/>
          <w:i/>
          <w:iCs/>
          <w:color w:val="000000"/>
          <w:kern w:val="0"/>
          <w:szCs w:val="24"/>
          <w:lang w:eastAsia="es-ES_tradnl"/>
          <w14:ligatures w14:val="none"/>
        </w:rPr>
        <w:t>de conformidad con lo previsto en el artículo 91 del Decreto Constituyente que dicta el Código Orgánico Tributario de fecha 29 de enero de 2020 y sin perjuicio de las sanciones que puedan imponerse en posteriores actos administrativos por la comisión de otros ilícitos detectados en el presente procedimiento </w:t>
      </w:r>
      <w:r w:rsidRPr="00C3762A">
        <w:rPr>
          <w:rFonts w:eastAsia="Times New Roman" w:cs="Times New Roman"/>
          <w:color w:val="000000"/>
          <w:kern w:val="0"/>
          <w:szCs w:val="24"/>
          <w:lang w:eastAsia="es-ES_tradnl"/>
          <w14:ligatures w14:val="none"/>
        </w:rPr>
        <w:t>(…)”. (Resaltados de la cita).</w:t>
      </w:r>
    </w:p>
    <w:p w14:paraId="0433BE67" w14:textId="77777777" w:rsidR="00C3762A" w:rsidRPr="00C3762A" w:rsidRDefault="00C3762A" w:rsidP="00C3762A">
      <w:pPr>
        <w:spacing w:line="420" w:lineRule="atLeast"/>
        <w:ind w:firstLine="680"/>
        <w:jc w:val="both"/>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eastAsia="es-ES_tradnl"/>
          <w14:ligatures w14:val="none"/>
        </w:rPr>
        <w:t>Por disconformidad con el referido acto administrativo, en fecha 21 de abril de 2022, el ciudadano Francisco Javier Bolívar Ledezma, actuando en su carácter de “</w:t>
      </w:r>
      <w:r w:rsidRPr="00C3762A">
        <w:rPr>
          <w:rFonts w:eastAsia="Times New Roman" w:cs="Times New Roman"/>
          <w:i/>
          <w:iCs/>
          <w:color w:val="000000"/>
          <w:kern w:val="0"/>
          <w:szCs w:val="24"/>
          <w:lang w:eastAsia="es-ES_tradnl"/>
          <w14:ligatures w14:val="none"/>
        </w:rPr>
        <w:t>Presidente</w:t>
      </w:r>
      <w:r w:rsidRPr="00C3762A">
        <w:rPr>
          <w:rFonts w:eastAsia="Times New Roman" w:cs="Times New Roman"/>
          <w:color w:val="000000"/>
          <w:kern w:val="0"/>
          <w:szCs w:val="24"/>
          <w:lang w:eastAsia="es-ES_tradnl"/>
          <w14:ligatures w14:val="none"/>
        </w:rPr>
        <w:t>”</w:t>
      </w:r>
      <w:r w:rsidRPr="00C3762A">
        <w:rPr>
          <w:rFonts w:eastAsia="Times New Roman" w:cs="Times New Roman"/>
          <w:i/>
          <w:iCs/>
          <w:color w:val="000000"/>
          <w:kern w:val="0"/>
          <w:szCs w:val="24"/>
          <w:lang w:eastAsia="es-ES_tradnl"/>
          <w14:ligatures w14:val="none"/>
        </w:rPr>
        <w:t> </w:t>
      </w:r>
      <w:r w:rsidRPr="00C3762A">
        <w:rPr>
          <w:rFonts w:eastAsia="Times New Roman" w:cs="Times New Roman"/>
          <w:color w:val="000000"/>
          <w:kern w:val="0"/>
          <w:szCs w:val="24"/>
          <w:lang w:eastAsia="es-ES_tradnl"/>
          <w14:ligatures w14:val="none"/>
        </w:rPr>
        <w:t>de la sociedad de comercio Licores La Orquídea, C.A., asistido por el abogado Julio César Díaz Valdez, anteriormente identificados, interpuso recurso contencioso tributario ante el Tribunal Superior de lo Contencioso Tributario de la Región Guayana, argumentando las consideraciones de hecho y derecho expresadas a continuación:</w:t>
      </w:r>
    </w:p>
    <w:p w14:paraId="501C3ABA" w14:textId="77777777" w:rsidR="00C3762A" w:rsidRPr="00C3762A" w:rsidRDefault="00C3762A" w:rsidP="00C3762A">
      <w:pPr>
        <w:spacing w:line="420" w:lineRule="atLeast"/>
        <w:ind w:firstLine="680"/>
        <w:jc w:val="both"/>
        <w:rPr>
          <w:rFonts w:eastAsia="Times New Roman" w:cs="Times New Roman"/>
          <w:color w:val="000000"/>
          <w:kern w:val="0"/>
          <w:sz w:val="28"/>
          <w:szCs w:val="28"/>
          <w:lang w:val="es-VE" w:eastAsia="es-ES_tradnl"/>
          <w14:ligatures w14:val="none"/>
        </w:rPr>
      </w:pPr>
      <w:r w:rsidRPr="00C3762A">
        <w:rPr>
          <w:rFonts w:eastAsia="Times New Roman" w:cs="Times New Roman"/>
          <w:b/>
          <w:bCs/>
          <w:i/>
          <w:iCs/>
          <w:color w:val="000000"/>
          <w:kern w:val="0"/>
          <w:szCs w:val="24"/>
          <w:lang w:eastAsia="es-ES_tradnl"/>
          <w14:ligatures w14:val="none"/>
        </w:rPr>
        <w:t>i)</w:t>
      </w:r>
      <w:r w:rsidRPr="00C3762A">
        <w:rPr>
          <w:rFonts w:eastAsia="Times New Roman" w:cs="Times New Roman"/>
          <w:color w:val="000000"/>
          <w:kern w:val="0"/>
          <w:szCs w:val="24"/>
          <w:lang w:eastAsia="es-ES_tradnl"/>
          <w14:ligatures w14:val="none"/>
        </w:rPr>
        <w:t> “(...) </w:t>
      </w:r>
      <w:r w:rsidRPr="00C3762A">
        <w:rPr>
          <w:rFonts w:eastAsia="Times New Roman" w:cs="Times New Roman"/>
          <w:b/>
          <w:bCs/>
          <w:i/>
          <w:iCs/>
          <w:color w:val="000000"/>
          <w:kern w:val="0"/>
          <w:szCs w:val="24"/>
          <w:lang w:eastAsia="es-ES_tradnl"/>
          <w14:ligatures w14:val="none"/>
        </w:rPr>
        <w:t xml:space="preserve">Aplicación </w:t>
      </w:r>
      <w:proofErr w:type="spellStart"/>
      <w:r w:rsidRPr="00C3762A">
        <w:rPr>
          <w:rFonts w:eastAsia="Times New Roman" w:cs="Times New Roman"/>
          <w:b/>
          <w:bCs/>
          <w:i/>
          <w:iCs/>
          <w:color w:val="000000"/>
          <w:kern w:val="0"/>
          <w:szCs w:val="24"/>
          <w:lang w:eastAsia="es-ES_tradnl"/>
          <w14:ligatures w14:val="none"/>
        </w:rPr>
        <w:t>irretroactiva</w:t>
      </w:r>
      <w:proofErr w:type="spellEnd"/>
      <w:r w:rsidRPr="00C3762A">
        <w:rPr>
          <w:rFonts w:eastAsia="Times New Roman" w:cs="Times New Roman"/>
          <w:b/>
          <w:bCs/>
          <w:i/>
          <w:iCs/>
          <w:color w:val="000000"/>
          <w:kern w:val="0"/>
          <w:szCs w:val="24"/>
          <w:lang w:eastAsia="es-ES_tradnl"/>
          <w14:ligatures w14:val="none"/>
        </w:rPr>
        <w:t xml:space="preserve"> del valor del tipo de cambio para el cálculo de las multas establecidas en el artículo 91 del Código Orgánico Tributario 2020 y en la ley de reforma de la Ley de Timbre Fiscal del estado Bolívar del año 2022 a ilícitos tributarios causados bajo el imperio de la Ley de Timbre Fiscal del estado Bolívar de 2018 </w:t>
      </w:r>
      <w:r w:rsidRPr="00C3762A">
        <w:rPr>
          <w:rFonts w:eastAsia="Times New Roman" w:cs="Times New Roman"/>
          <w:color w:val="000000"/>
          <w:kern w:val="0"/>
          <w:szCs w:val="24"/>
          <w:lang w:eastAsia="es-ES_tradnl"/>
          <w14:ligatures w14:val="none"/>
        </w:rPr>
        <w:t>(...)” </w:t>
      </w:r>
    </w:p>
    <w:p w14:paraId="6605CC15" w14:textId="77777777" w:rsidR="00C3762A" w:rsidRPr="00C3762A" w:rsidRDefault="00C3762A" w:rsidP="00C3762A">
      <w:pPr>
        <w:spacing w:line="420" w:lineRule="atLeast"/>
        <w:ind w:firstLine="680"/>
        <w:jc w:val="both"/>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eastAsia="es-ES_tradnl"/>
          <w14:ligatures w14:val="none"/>
        </w:rPr>
        <w:t>Al respecto, arguyó que “(…)</w:t>
      </w:r>
      <w:r w:rsidRPr="00C3762A">
        <w:rPr>
          <w:rFonts w:eastAsia="Times New Roman" w:cs="Times New Roman"/>
          <w:i/>
          <w:iCs/>
          <w:color w:val="000000"/>
          <w:kern w:val="0"/>
          <w:szCs w:val="24"/>
          <w:lang w:eastAsia="es-ES_tradnl"/>
          <w14:ligatures w14:val="none"/>
        </w:rPr>
        <w:t> el Servicio Autónomo de Administración Tributario del estado Bolívar no consideró algunos aspectos importantes para la estimación legal de las sanciones, tales como: a) Que las infracciones –incumplimiento de los deberes formales– verificadas por los funcionarios actuantes y que dieron origen a la imposición de sanciones pecuniarias están establecidas en la ley especial de timbre fiscal del estado Bolívar. b) Que la remisión que hace el artículo N° 343 del COT, 2020 a las normas previstas en el Decreto con Rango Valor y Fuerza de Ley del Código Orgánico Tributario de 2014, –cuya intención es que no se menoscabe el principio constitucional de irretroactividad (cfr., 24 de la CRBV)– se refieren a </w:t>
      </w:r>
      <w:r w:rsidRPr="00C3762A">
        <w:rPr>
          <w:rFonts w:eastAsia="Times New Roman" w:cs="Times New Roman"/>
          <w:b/>
          <w:bCs/>
          <w:i/>
          <w:iCs/>
          <w:color w:val="000000"/>
          <w:kern w:val="0"/>
          <w:szCs w:val="24"/>
          <w:lang w:eastAsia="es-ES_tradnl"/>
          <w14:ligatures w14:val="none"/>
        </w:rPr>
        <w:t>infracciones</w:t>
      </w:r>
      <w:r w:rsidRPr="00C3762A">
        <w:rPr>
          <w:rFonts w:eastAsia="Times New Roman" w:cs="Times New Roman"/>
          <w:i/>
          <w:iCs/>
          <w:color w:val="000000"/>
          <w:kern w:val="0"/>
          <w:szCs w:val="24"/>
          <w:lang w:eastAsia="es-ES_tradnl"/>
          <w14:ligatures w14:val="none"/>
        </w:rPr>
        <w:t> –cometidas antes de la entrada en vigencia de este Código– que corresponden a tributos nacionales, ya que las normas referidas a los tributos de los estados son de aplicación supletoria </w:t>
      </w:r>
      <w:r w:rsidRPr="00C3762A">
        <w:rPr>
          <w:rFonts w:eastAsia="Times New Roman" w:cs="Times New Roman"/>
          <w:color w:val="000000"/>
          <w:kern w:val="0"/>
          <w:szCs w:val="24"/>
          <w:lang w:eastAsia="es-ES_tradnl"/>
          <w14:ligatures w14:val="none"/>
        </w:rPr>
        <w:t>(…) </w:t>
      </w:r>
      <w:r w:rsidRPr="00C3762A">
        <w:rPr>
          <w:rFonts w:eastAsia="Times New Roman" w:cs="Times New Roman"/>
          <w:i/>
          <w:iCs/>
          <w:color w:val="000000"/>
          <w:kern w:val="0"/>
          <w:szCs w:val="24"/>
          <w:lang w:eastAsia="es-ES_tradnl"/>
          <w14:ligatures w14:val="none"/>
        </w:rPr>
        <w:t>c) Que el</w:t>
      </w:r>
      <w:r w:rsidRPr="00C3762A">
        <w:rPr>
          <w:rFonts w:eastAsia="Times New Roman" w:cs="Times New Roman"/>
          <w:color w:val="000000"/>
          <w:kern w:val="0"/>
          <w:szCs w:val="24"/>
          <w:lang w:eastAsia="es-ES_tradnl"/>
          <w14:ligatures w14:val="none"/>
        </w:rPr>
        <w:t> </w:t>
      </w:r>
      <w:r w:rsidRPr="00C3762A">
        <w:rPr>
          <w:rFonts w:eastAsia="Times New Roman" w:cs="Times New Roman"/>
          <w:i/>
          <w:iCs/>
          <w:color w:val="000000"/>
          <w:kern w:val="0"/>
          <w:szCs w:val="24"/>
          <w:lang w:eastAsia="es-ES_tradnl"/>
          <w14:ligatures w14:val="none"/>
        </w:rPr>
        <w:t xml:space="preserve">valor de la Unidad Tributaria establecidas en las Providencias Administrativas emanadas del SENIAT están reservadas a partir del 11 de </w:t>
      </w:r>
      <w:r w:rsidRPr="00C3762A">
        <w:rPr>
          <w:rFonts w:eastAsia="Times New Roman" w:cs="Times New Roman"/>
          <w:i/>
          <w:iCs/>
          <w:color w:val="000000"/>
          <w:kern w:val="0"/>
          <w:szCs w:val="24"/>
          <w:lang w:eastAsia="es-ES_tradnl"/>
          <w14:ligatures w14:val="none"/>
        </w:rPr>
        <w:lastRenderedPageBreak/>
        <w:t>septiembre de 2018 como unidad de medición para la determinación de los Tributos Nacionales, cuya recaudación y control sean de competencia del Servicio Nacional Integrado de Administración Aduanera y Tributaria, no pudiendo ser utilizada por los órganos y entes del poder público para la determinación de beneficios laborales o de tasas y contribuciones especiales derivados de los servicios que prestan </w:t>
      </w:r>
      <w:r w:rsidRPr="00C3762A">
        <w:rPr>
          <w:rFonts w:eastAsia="Times New Roman" w:cs="Times New Roman"/>
          <w:color w:val="000000"/>
          <w:kern w:val="0"/>
          <w:szCs w:val="24"/>
          <w:lang w:eastAsia="es-ES_tradnl"/>
          <w14:ligatures w14:val="none"/>
        </w:rPr>
        <w:t>(…)”.</w:t>
      </w:r>
    </w:p>
    <w:p w14:paraId="07732BA8" w14:textId="77777777" w:rsidR="00C3762A" w:rsidRPr="00C3762A" w:rsidRDefault="00C3762A" w:rsidP="00C3762A">
      <w:pPr>
        <w:spacing w:line="420" w:lineRule="atLeast"/>
        <w:ind w:firstLine="680"/>
        <w:jc w:val="both"/>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eastAsia="es-ES_tradnl"/>
          <w14:ligatures w14:val="none"/>
        </w:rPr>
        <w:t>Destacó que “(…)</w:t>
      </w:r>
      <w:r w:rsidRPr="00C3762A">
        <w:rPr>
          <w:rFonts w:eastAsia="Times New Roman" w:cs="Times New Roman"/>
          <w:i/>
          <w:iCs/>
          <w:color w:val="000000"/>
          <w:kern w:val="0"/>
          <w:szCs w:val="24"/>
          <w:lang w:eastAsia="es-ES_tradnl"/>
          <w14:ligatures w14:val="none"/>
        </w:rPr>
        <w:t xml:space="preserve"> la última ley de reforma de la ley de timbre fiscal del estado Bolívar </w:t>
      </w:r>
      <w:proofErr w:type="gramStart"/>
      <w:r w:rsidRPr="00C3762A">
        <w:rPr>
          <w:rFonts w:eastAsia="Times New Roman" w:cs="Times New Roman"/>
          <w:i/>
          <w:iCs/>
          <w:color w:val="000000"/>
          <w:kern w:val="0"/>
          <w:szCs w:val="24"/>
          <w:lang w:eastAsia="es-ES_tradnl"/>
          <w14:ligatures w14:val="none"/>
        </w:rPr>
        <w:t>entró en vigencia</w:t>
      </w:r>
      <w:proofErr w:type="gramEnd"/>
      <w:r w:rsidRPr="00C3762A">
        <w:rPr>
          <w:rFonts w:eastAsia="Times New Roman" w:cs="Times New Roman"/>
          <w:i/>
          <w:iCs/>
          <w:color w:val="000000"/>
          <w:kern w:val="0"/>
          <w:szCs w:val="24"/>
          <w:lang w:eastAsia="es-ES_tradnl"/>
          <w14:ligatures w14:val="none"/>
        </w:rPr>
        <w:t xml:space="preserve"> el 24 de enero de 2022 y derogó la Ley de Timbre Fiscal del estado Bolívar, publicada en la Gaceta Oficial Ordinaria </w:t>
      </w:r>
      <w:proofErr w:type="spellStart"/>
      <w:r w:rsidRPr="00C3762A">
        <w:rPr>
          <w:rFonts w:eastAsia="Times New Roman" w:cs="Times New Roman"/>
          <w:i/>
          <w:iCs/>
          <w:color w:val="000000"/>
          <w:kern w:val="0"/>
          <w:szCs w:val="24"/>
          <w:lang w:eastAsia="es-ES_tradnl"/>
          <w14:ligatures w14:val="none"/>
        </w:rPr>
        <w:t>n°</w:t>
      </w:r>
      <w:proofErr w:type="spellEnd"/>
      <w:r w:rsidRPr="00C3762A">
        <w:rPr>
          <w:rFonts w:eastAsia="Times New Roman" w:cs="Times New Roman"/>
          <w:i/>
          <w:iCs/>
          <w:color w:val="000000"/>
          <w:kern w:val="0"/>
          <w:szCs w:val="24"/>
          <w:lang w:eastAsia="es-ES_tradnl"/>
          <w14:ligatures w14:val="none"/>
        </w:rPr>
        <w:t xml:space="preserve"> 2408 de fecha 22 de octubre de 2018. Por lo tanto, considerando que las supuestas transgresiones realizadas por </w:t>
      </w:r>
      <w:r w:rsidRPr="00C3762A">
        <w:rPr>
          <w:rFonts w:eastAsia="Times New Roman" w:cs="Times New Roman"/>
          <w:color w:val="000000"/>
          <w:kern w:val="0"/>
          <w:szCs w:val="24"/>
          <w:lang w:eastAsia="es-ES_tradnl"/>
          <w14:ligatures w14:val="none"/>
        </w:rPr>
        <w:t>[su]</w:t>
      </w:r>
      <w:r w:rsidRPr="00C3762A">
        <w:rPr>
          <w:rFonts w:eastAsia="Times New Roman" w:cs="Times New Roman"/>
          <w:i/>
          <w:iCs/>
          <w:color w:val="000000"/>
          <w:kern w:val="0"/>
          <w:szCs w:val="24"/>
          <w:lang w:eastAsia="es-ES_tradnl"/>
          <w14:ligatures w14:val="none"/>
        </w:rPr>
        <w:t xml:space="preserve"> representada –incumplimiento de los deberes formales– corresponden o fueron causados para ejercicios 2019, 2020 y 2021, la Ley de Timbre Fiscal del estado Bolívar a aplicar es la que </w:t>
      </w:r>
      <w:proofErr w:type="gramStart"/>
      <w:r w:rsidRPr="00C3762A">
        <w:rPr>
          <w:rFonts w:eastAsia="Times New Roman" w:cs="Times New Roman"/>
          <w:i/>
          <w:iCs/>
          <w:color w:val="000000"/>
          <w:kern w:val="0"/>
          <w:szCs w:val="24"/>
          <w:lang w:eastAsia="es-ES_tradnl"/>
          <w14:ligatures w14:val="none"/>
        </w:rPr>
        <w:t>entró en vigencia</w:t>
      </w:r>
      <w:proofErr w:type="gramEnd"/>
      <w:r w:rsidRPr="00C3762A">
        <w:rPr>
          <w:rFonts w:eastAsia="Times New Roman" w:cs="Times New Roman"/>
          <w:i/>
          <w:iCs/>
          <w:color w:val="000000"/>
          <w:kern w:val="0"/>
          <w:szCs w:val="24"/>
          <w:lang w:eastAsia="es-ES_tradnl"/>
          <w14:ligatures w14:val="none"/>
        </w:rPr>
        <w:t xml:space="preserve"> a partir del 22 de octubre de 2018 </w:t>
      </w:r>
      <w:r w:rsidRPr="00C3762A">
        <w:rPr>
          <w:rFonts w:eastAsia="Times New Roman" w:cs="Times New Roman"/>
          <w:color w:val="000000"/>
          <w:kern w:val="0"/>
          <w:szCs w:val="24"/>
          <w:lang w:eastAsia="es-ES_tradnl"/>
          <w14:ligatures w14:val="none"/>
        </w:rPr>
        <w:t>(...)”. (Corchetes de la Sala).</w:t>
      </w:r>
    </w:p>
    <w:p w14:paraId="685E8054" w14:textId="77777777" w:rsidR="00C3762A" w:rsidRPr="00C3762A" w:rsidRDefault="00C3762A" w:rsidP="00C3762A">
      <w:pPr>
        <w:spacing w:line="420" w:lineRule="atLeast"/>
        <w:ind w:firstLine="680"/>
        <w:jc w:val="both"/>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eastAsia="es-ES_tradnl"/>
          <w14:ligatures w14:val="none"/>
        </w:rPr>
        <w:t>Que “(…) </w:t>
      </w:r>
      <w:r w:rsidRPr="00C3762A">
        <w:rPr>
          <w:rFonts w:eastAsia="Times New Roman" w:cs="Times New Roman"/>
          <w:i/>
          <w:iCs/>
          <w:color w:val="000000"/>
          <w:kern w:val="0"/>
          <w:szCs w:val="24"/>
          <w:lang w:eastAsia="es-ES_tradnl"/>
          <w14:ligatures w14:val="none"/>
        </w:rPr>
        <w:t>la</w:t>
      </w:r>
      <w:r w:rsidRPr="00C3762A">
        <w:rPr>
          <w:rFonts w:eastAsia="Times New Roman" w:cs="Times New Roman"/>
          <w:color w:val="000000"/>
          <w:kern w:val="0"/>
          <w:szCs w:val="24"/>
          <w:lang w:eastAsia="es-ES_tradnl"/>
          <w14:ligatures w14:val="none"/>
        </w:rPr>
        <w:t> </w:t>
      </w:r>
      <w:r w:rsidRPr="00C3762A">
        <w:rPr>
          <w:rFonts w:eastAsia="Times New Roman" w:cs="Times New Roman"/>
          <w:i/>
          <w:iCs/>
          <w:color w:val="000000"/>
          <w:kern w:val="0"/>
          <w:szCs w:val="24"/>
          <w:lang w:eastAsia="es-ES_tradnl"/>
          <w14:ligatures w14:val="none"/>
        </w:rPr>
        <w:t xml:space="preserve">resolución objeto de este recurso señaló que el incumplimiento del deber formal –uno de los componentes de las sanciones administrativas– de pagar anualmente, las correspondientes tasas fiscales estadales por concepto de renovación de la autorización alfanumérico MY-149 y MN-323 para el expendio de bebidas alcohólicas correspondientes a los ejercicios fiscales 2019, 2020 y 2021 conforme al artículo 40 </w:t>
      </w:r>
      <w:proofErr w:type="spellStart"/>
      <w:r w:rsidRPr="00C3762A">
        <w:rPr>
          <w:rFonts w:eastAsia="Times New Roman" w:cs="Times New Roman"/>
          <w:i/>
          <w:iCs/>
          <w:color w:val="000000"/>
          <w:kern w:val="0"/>
          <w:szCs w:val="24"/>
          <w:lang w:eastAsia="es-ES_tradnl"/>
          <w14:ligatures w14:val="none"/>
        </w:rPr>
        <w:t>n°</w:t>
      </w:r>
      <w:proofErr w:type="spellEnd"/>
      <w:r w:rsidRPr="00C3762A">
        <w:rPr>
          <w:rFonts w:eastAsia="Times New Roman" w:cs="Times New Roman"/>
          <w:i/>
          <w:iCs/>
          <w:color w:val="000000"/>
          <w:kern w:val="0"/>
          <w:szCs w:val="24"/>
          <w:lang w:eastAsia="es-ES_tradnl"/>
          <w14:ligatures w14:val="none"/>
        </w:rPr>
        <w:t xml:space="preserve"> 2 de la ley de timbre fiscal del estado Bolívar </w:t>
      </w:r>
      <w:r w:rsidRPr="00C3762A">
        <w:rPr>
          <w:rFonts w:eastAsia="Times New Roman" w:cs="Times New Roman"/>
          <w:color w:val="000000"/>
          <w:kern w:val="0"/>
          <w:szCs w:val="24"/>
          <w:lang w:eastAsia="es-ES_tradnl"/>
          <w14:ligatures w14:val="none"/>
        </w:rPr>
        <w:t>(…)”.</w:t>
      </w:r>
    </w:p>
    <w:p w14:paraId="0C6E0E7B" w14:textId="77777777" w:rsidR="00C3762A" w:rsidRPr="00C3762A" w:rsidRDefault="00C3762A" w:rsidP="00C3762A">
      <w:pPr>
        <w:spacing w:line="420" w:lineRule="atLeast"/>
        <w:ind w:firstLine="680"/>
        <w:jc w:val="both"/>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eastAsia="es-ES_tradnl"/>
          <w14:ligatures w14:val="none"/>
        </w:rPr>
        <w:t>Explicaron que su objeción está “(…)</w:t>
      </w:r>
      <w:r w:rsidRPr="00C3762A">
        <w:rPr>
          <w:rFonts w:eastAsia="Times New Roman" w:cs="Times New Roman"/>
          <w:i/>
          <w:iCs/>
          <w:color w:val="000000"/>
          <w:kern w:val="0"/>
          <w:szCs w:val="24"/>
          <w:lang w:eastAsia="es-ES_tradnl"/>
          <w14:ligatures w14:val="none"/>
        </w:rPr>
        <w:t xml:space="preserve"> en la estimación pecuniaria de la sanción que es la consecuencia desfavorable –segundo componente de las sanciones administrativas–, dado que la Administración Tributaria Estadal reconoce que la infracción es anterior a la ley de reforma de la ley de timbre fiscal del estado Bolívar entrada en vigencia el 24 de enero de 2022 al subsumirla al artículo 40 </w:t>
      </w:r>
      <w:proofErr w:type="spellStart"/>
      <w:r w:rsidRPr="00C3762A">
        <w:rPr>
          <w:rFonts w:eastAsia="Times New Roman" w:cs="Times New Roman"/>
          <w:i/>
          <w:iCs/>
          <w:color w:val="000000"/>
          <w:kern w:val="0"/>
          <w:szCs w:val="24"/>
          <w:lang w:eastAsia="es-ES_tradnl"/>
          <w14:ligatures w14:val="none"/>
        </w:rPr>
        <w:t>n°</w:t>
      </w:r>
      <w:proofErr w:type="spellEnd"/>
      <w:r w:rsidRPr="00C3762A">
        <w:rPr>
          <w:rFonts w:eastAsia="Times New Roman" w:cs="Times New Roman"/>
          <w:i/>
          <w:iCs/>
          <w:color w:val="000000"/>
          <w:kern w:val="0"/>
          <w:szCs w:val="24"/>
          <w:lang w:eastAsia="es-ES_tradnl"/>
          <w14:ligatures w14:val="none"/>
        </w:rPr>
        <w:t xml:space="preserve"> 2 de la ley de timbre fiscal del estado Bolívar del 2018, pero de manera subrepticia equipara el valor de las Unidades Tributarias dictadas por el SENIAT al valor de las Unidades Tributarias Estadales establecidas en la ley de reforma de la ley de timbre fiscal del estado Bolívar que entró en vigencia el 24 de enero de 2022 </w:t>
      </w:r>
      <w:r w:rsidRPr="00C3762A">
        <w:rPr>
          <w:rFonts w:eastAsia="Times New Roman" w:cs="Times New Roman"/>
          <w:color w:val="000000"/>
          <w:kern w:val="0"/>
          <w:szCs w:val="24"/>
          <w:lang w:eastAsia="es-ES_tradnl"/>
          <w14:ligatures w14:val="none"/>
        </w:rPr>
        <w:t>(…)”.</w:t>
      </w:r>
    </w:p>
    <w:p w14:paraId="752E30BD" w14:textId="77777777" w:rsidR="00C3762A" w:rsidRPr="00C3762A" w:rsidRDefault="00C3762A" w:rsidP="00C3762A">
      <w:pPr>
        <w:spacing w:line="420" w:lineRule="atLeast"/>
        <w:ind w:firstLine="680"/>
        <w:jc w:val="both"/>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eastAsia="es-ES_tradnl"/>
          <w14:ligatures w14:val="none"/>
        </w:rPr>
        <w:t>Destacó que “(…)</w:t>
      </w:r>
      <w:r w:rsidRPr="00C3762A">
        <w:rPr>
          <w:rFonts w:eastAsia="Times New Roman" w:cs="Times New Roman"/>
          <w:i/>
          <w:iCs/>
          <w:color w:val="000000"/>
          <w:kern w:val="0"/>
          <w:szCs w:val="24"/>
          <w:lang w:eastAsia="es-ES_tradnl"/>
          <w14:ligatures w14:val="none"/>
        </w:rPr>
        <w:t xml:space="preserve"> el razonamiento expuesto en la resolución es falso (no es válido), y lo es simplemente porque parte de una falsa premisa que es considerar que el valor de la </w:t>
      </w:r>
      <w:r w:rsidRPr="00C3762A">
        <w:rPr>
          <w:rFonts w:eastAsia="Times New Roman" w:cs="Times New Roman"/>
          <w:i/>
          <w:iCs/>
          <w:color w:val="000000"/>
          <w:kern w:val="0"/>
          <w:szCs w:val="24"/>
          <w:lang w:eastAsia="es-ES_tradnl"/>
          <w14:ligatures w14:val="none"/>
        </w:rPr>
        <w:lastRenderedPageBreak/>
        <w:t>unidad tributaria (nacional) equivale a unidad tributaria estadal. La validez de un razonamiento garantiza la verdad de la conclusión sólo en los casos de que sus premisas sean correctas, por tanto, –como observa– en la resolución no se cumple esta estructura, por lo que la conclusión de que la sanción estimada en bolívares sea 700,00 es falsa. Lo que evidencia la resolución respecto a la estimación de la sanción pecuniaria, no es más que el uso de motivaciones formales sin contenido material alguno </w:t>
      </w:r>
      <w:r w:rsidRPr="00C3762A">
        <w:rPr>
          <w:rFonts w:eastAsia="Times New Roman" w:cs="Times New Roman"/>
          <w:color w:val="000000"/>
          <w:kern w:val="0"/>
          <w:szCs w:val="24"/>
          <w:lang w:eastAsia="es-ES_tradnl"/>
          <w14:ligatures w14:val="none"/>
        </w:rPr>
        <w:t>(...)”.</w:t>
      </w:r>
    </w:p>
    <w:p w14:paraId="0810BB60" w14:textId="77777777" w:rsidR="00C3762A" w:rsidRPr="00C3762A" w:rsidRDefault="00C3762A" w:rsidP="00C3762A">
      <w:pPr>
        <w:spacing w:line="420" w:lineRule="atLeast"/>
        <w:ind w:firstLine="680"/>
        <w:jc w:val="both"/>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eastAsia="es-ES_tradnl"/>
          <w14:ligatures w14:val="none"/>
        </w:rPr>
        <w:t>Que “(…)</w:t>
      </w:r>
      <w:r w:rsidRPr="00C3762A">
        <w:rPr>
          <w:rFonts w:eastAsia="Times New Roman" w:cs="Times New Roman"/>
          <w:i/>
          <w:iCs/>
          <w:color w:val="000000"/>
          <w:kern w:val="0"/>
          <w:szCs w:val="24"/>
          <w:lang w:eastAsia="es-ES_tradnl"/>
          <w14:ligatures w14:val="none"/>
        </w:rPr>
        <w:t xml:space="preserve"> la afirmación que hace la Administración Tributaria Estadal respecto al artículo </w:t>
      </w:r>
      <w:proofErr w:type="spellStart"/>
      <w:r w:rsidRPr="00C3762A">
        <w:rPr>
          <w:rFonts w:eastAsia="Times New Roman" w:cs="Times New Roman"/>
          <w:i/>
          <w:iCs/>
          <w:color w:val="000000"/>
          <w:kern w:val="0"/>
          <w:szCs w:val="24"/>
          <w:lang w:eastAsia="es-ES_tradnl"/>
          <w14:ligatures w14:val="none"/>
        </w:rPr>
        <w:t>n°</w:t>
      </w:r>
      <w:proofErr w:type="spellEnd"/>
      <w:r w:rsidRPr="00C3762A">
        <w:rPr>
          <w:rFonts w:eastAsia="Times New Roman" w:cs="Times New Roman"/>
          <w:i/>
          <w:iCs/>
          <w:color w:val="000000"/>
          <w:kern w:val="0"/>
          <w:szCs w:val="24"/>
          <w:lang w:eastAsia="es-ES_tradnl"/>
          <w14:ligatures w14:val="none"/>
        </w:rPr>
        <w:t xml:space="preserve"> 91 antes transcrito, desdibuja la motivación del acto administrativo que constituye un requisito formal indispensable para su validez. Parece más un artilugio del cual surge la </w:t>
      </w:r>
      <w:proofErr w:type="spellStart"/>
      <w:r w:rsidRPr="00C3762A">
        <w:rPr>
          <w:rFonts w:eastAsia="Times New Roman" w:cs="Times New Roman"/>
          <w:i/>
          <w:iCs/>
          <w:color w:val="000000"/>
          <w:kern w:val="0"/>
          <w:szCs w:val="24"/>
          <w:lang w:eastAsia="es-ES_tradnl"/>
          <w14:ligatures w14:val="none"/>
        </w:rPr>
        <w:t>inmotivación</w:t>
      </w:r>
      <w:proofErr w:type="spellEnd"/>
      <w:r w:rsidRPr="00C3762A">
        <w:rPr>
          <w:rFonts w:eastAsia="Times New Roman" w:cs="Times New Roman"/>
          <w:i/>
          <w:iCs/>
          <w:color w:val="000000"/>
          <w:kern w:val="0"/>
          <w:szCs w:val="24"/>
          <w:lang w:eastAsia="es-ES_tradnl"/>
          <w14:ligatures w14:val="none"/>
        </w:rPr>
        <w:t xml:space="preserve"> material, dado que el mismo es incomprensible </w:t>
      </w:r>
      <w:r w:rsidRPr="00C3762A">
        <w:rPr>
          <w:rFonts w:eastAsia="Times New Roman" w:cs="Times New Roman"/>
          <w:color w:val="000000"/>
          <w:kern w:val="0"/>
          <w:szCs w:val="24"/>
          <w:lang w:eastAsia="es-ES_tradnl"/>
          <w14:ligatures w14:val="none"/>
        </w:rPr>
        <w:t>(...)”.</w:t>
      </w:r>
    </w:p>
    <w:p w14:paraId="04F0F6F8" w14:textId="77777777" w:rsidR="00C3762A" w:rsidRPr="00C3762A" w:rsidRDefault="00C3762A" w:rsidP="00C3762A">
      <w:pPr>
        <w:spacing w:line="420" w:lineRule="atLeast"/>
        <w:ind w:firstLine="680"/>
        <w:jc w:val="both"/>
        <w:rPr>
          <w:rFonts w:eastAsia="Times New Roman" w:cs="Times New Roman"/>
          <w:color w:val="000000"/>
          <w:kern w:val="0"/>
          <w:sz w:val="28"/>
          <w:szCs w:val="28"/>
          <w:lang w:val="es-VE" w:eastAsia="es-ES_tradnl"/>
          <w14:ligatures w14:val="none"/>
        </w:rPr>
      </w:pPr>
      <w:proofErr w:type="spellStart"/>
      <w:r w:rsidRPr="00C3762A">
        <w:rPr>
          <w:rFonts w:eastAsia="Times New Roman" w:cs="Times New Roman"/>
          <w:b/>
          <w:bCs/>
          <w:i/>
          <w:iCs/>
          <w:color w:val="000000"/>
          <w:kern w:val="0"/>
          <w:szCs w:val="24"/>
          <w:lang w:eastAsia="es-ES_tradnl"/>
          <w14:ligatures w14:val="none"/>
        </w:rPr>
        <w:t>ii</w:t>
      </w:r>
      <w:proofErr w:type="spellEnd"/>
      <w:r w:rsidRPr="00C3762A">
        <w:rPr>
          <w:rFonts w:eastAsia="Times New Roman" w:cs="Times New Roman"/>
          <w:b/>
          <w:bCs/>
          <w:i/>
          <w:iCs/>
          <w:color w:val="000000"/>
          <w:kern w:val="0"/>
          <w:szCs w:val="24"/>
          <w:lang w:eastAsia="es-ES_tradnl"/>
          <w14:ligatures w14:val="none"/>
        </w:rPr>
        <w:t xml:space="preserve">) “vicio de </w:t>
      </w:r>
      <w:proofErr w:type="spellStart"/>
      <w:r w:rsidRPr="00C3762A">
        <w:rPr>
          <w:rFonts w:eastAsia="Times New Roman" w:cs="Times New Roman"/>
          <w:b/>
          <w:bCs/>
          <w:i/>
          <w:iCs/>
          <w:color w:val="000000"/>
          <w:kern w:val="0"/>
          <w:szCs w:val="24"/>
          <w:lang w:eastAsia="es-ES_tradnl"/>
          <w14:ligatures w14:val="none"/>
        </w:rPr>
        <w:t>inmotivación</w:t>
      </w:r>
      <w:proofErr w:type="spellEnd"/>
      <w:r w:rsidRPr="00C3762A">
        <w:rPr>
          <w:rFonts w:eastAsia="Times New Roman" w:cs="Times New Roman"/>
          <w:b/>
          <w:bCs/>
          <w:i/>
          <w:iCs/>
          <w:color w:val="000000"/>
          <w:kern w:val="0"/>
          <w:szCs w:val="24"/>
          <w:lang w:eastAsia="es-ES_tradnl"/>
          <w14:ligatures w14:val="none"/>
        </w:rPr>
        <w:t>”.</w:t>
      </w:r>
    </w:p>
    <w:p w14:paraId="2B3F3833" w14:textId="77777777" w:rsidR="00C3762A" w:rsidRPr="00C3762A" w:rsidRDefault="00C3762A" w:rsidP="00C3762A">
      <w:pPr>
        <w:spacing w:line="420" w:lineRule="atLeast"/>
        <w:ind w:firstLine="680"/>
        <w:jc w:val="both"/>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eastAsia="es-ES_tradnl"/>
          <w14:ligatures w14:val="none"/>
        </w:rPr>
        <w:t>En tal sentido, alegó que el acto administrativo recurrido “(…) </w:t>
      </w:r>
      <w:r w:rsidRPr="00C3762A">
        <w:rPr>
          <w:rFonts w:eastAsia="Times New Roman" w:cs="Times New Roman"/>
          <w:i/>
          <w:iCs/>
          <w:color w:val="000000"/>
          <w:kern w:val="0"/>
          <w:szCs w:val="24"/>
          <w:lang w:eastAsia="es-ES_tradnl"/>
          <w14:ligatures w14:val="none"/>
        </w:rPr>
        <w:t>no demuestra los incumplimientos de los deberes formales que causan las sanciones pecuniarias. Simplemente señala que se constató mediante el Acta de Recepción el incumplimiento el cual tampoco demuestra la comisión de alguna infracción </w:t>
      </w:r>
      <w:r w:rsidRPr="00C3762A">
        <w:rPr>
          <w:rFonts w:eastAsia="Times New Roman" w:cs="Times New Roman"/>
          <w:color w:val="000000"/>
          <w:kern w:val="0"/>
          <w:szCs w:val="24"/>
          <w:lang w:eastAsia="es-ES_tradnl"/>
          <w14:ligatures w14:val="none"/>
        </w:rPr>
        <w:t>(...)”.</w:t>
      </w:r>
    </w:p>
    <w:p w14:paraId="335BC788" w14:textId="77777777" w:rsidR="00C3762A" w:rsidRPr="00C3762A" w:rsidRDefault="00C3762A" w:rsidP="00C3762A">
      <w:pPr>
        <w:spacing w:line="420" w:lineRule="atLeast"/>
        <w:ind w:firstLine="680"/>
        <w:jc w:val="both"/>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eastAsia="es-ES_tradnl"/>
          <w14:ligatures w14:val="none"/>
        </w:rPr>
        <w:t>Arguyó que “(…)</w:t>
      </w:r>
      <w:r w:rsidRPr="00C3762A">
        <w:rPr>
          <w:rFonts w:eastAsia="Times New Roman" w:cs="Times New Roman"/>
          <w:i/>
          <w:iCs/>
          <w:color w:val="000000"/>
          <w:kern w:val="0"/>
          <w:szCs w:val="24"/>
          <w:lang w:eastAsia="es-ES_tradnl"/>
          <w14:ligatures w14:val="none"/>
        </w:rPr>
        <w:t> del análisis del acta de recepción –fundamento aparente– utilizado en la resolución, no se evidencia ningún dato, referencia o justificación del cual sea posible aseverar que </w:t>
      </w:r>
      <w:r w:rsidRPr="00C3762A">
        <w:rPr>
          <w:rFonts w:eastAsia="Times New Roman" w:cs="Times New Roman"/>
          <w:color w:val="000000"/>
          <w:kern w:val="0"/>
          <w:szCs w:val="24"/>
          <w:lang w:eastAsia="es-ES_tradnl"/>
          <w14:ligatures w14:val="none"/>
        </w:rPr>
        <w:t>[su]</w:t>
      </w:r>
      <w:r w:rsidRPr="00C3762A">
        <w:rPr>
          <w:rFonts w:eastAsia="Times New Roman" w:cs="Times New Roman"/>
          <w:i/>
          <w:iCs/>
          <w:color w:val="000000"/>
          <w:kern w:val="0"/>
          <w:szCs w:val="24"/>
          <w:lang w:eastAsia="es-ES_tradnl"/>
          <w14:ligatures w14:val="none"/>
        </w:rPr>
        <w:t> representada pagó de manera extemporánea las tasas de timbres fiscales estadales por concepto de renovación de las autorizaciones alfanumérico MY-149 y MN-323 </w:t>
      </w:r>
      <w:r w:rsidRPr="00C3762A">
        <w:rPr>
          <w:rFonts w:eastAsia="Times New Roman" w:cs="Times New Roman"/>
          <w:color w:val="000000"/>
          <w:kern w:val="0"/>
          <w:szCs w:val="24"/>
          <w:lang w:eastAsia="es-ES_tradnl"/>
          <w14:ligatures w14:val="none"/>
        </w:rPr>
        <w:t>(...)”. (Corchetes de la Sala).</w:t>
      </w:r>
    </w:p>
    <w:p w14:paraId="63027F6D" w14:textId="77777777" w:rsidR="00C3762A" w:rsidRPr="00C3762A" w:rsidRDefault="00C3762A" w:rsidP="00C3762A">
      <w:pPr>
        <w:spacing w:line="420" w:lineRule="atLeast"/>
        <w:ind w:firstLine="680"/>
        <w:jc w:val="both"/>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eastAsia="es-ES_tradnl"/>
          <w14:ligatures w14:val="none"/>
        </w:rPr>
        <w:t>Finalmente, solicitó que “(…)</w:t>
      </w:r>
      <w:r w:rsidRPr="00C3762A">
        <w:rPr>
          <w:rFonts w:eastAsia="Times New Roman" w:cs="Times New Roman"/>
          <w:i/>
          <w:iCs/>
          <w:color w:val="000000"/>
          <w:kern w:val="0"/>
          <w:szCs w:val="24"/>
          <w:lang w:eastAsia="es-ES_tradnl"/>
          <w14:ligatures w14:val="none"/>
        </w:rPr>
        <w:t> (i) </w:t>
      </w:r>
      <w:r w:rsidRPr="00C3762A">
        <w:rPr>
          <w:rFonts w:eastAsia="Times New Roman" w:cs="Times New Roman"/>
          <w:b/>
          <w:bCs/>
          <w:i/>
          <w:iCs/>
          <w:color w:val="000000"/>
          <w:kern w:val="0"/>
          <w:szCs w:val="24"/>
          <w:u w:val="single"/>
          <w:lang w:eastAsia="es-ES_tradnl"/>
          <w14:ligatures w14:val="none"/>
        </w:rPr>
        <w:t>Admita</w:t>
      </w:r>
      <w:r w:rsidRPr="00C3762A">
        <w:rPr>
          <w:rFonts w:eastAsia="Times New Roman" w:cs="Times New Roman"/>
          <w:i/>
          <w:iCs/>
          <w:color w:val="000000"/>
          <w:kern w:val="0"/>
          <w:szCs w:val="24"/>
          <w:lang w:eastAsia="es-ES_tradnl"/>
          <w14:ligatures w14:val="none"/>
        </w:rPr>
        <w:t> y sustancie el presente Recurso Contencioso Tributario conforme a derecho; (</w:t>
      </w:r>
      <w:proofErr w:type="spellStart"/>
      <w:r w:rsidRPr="00C3762A">
        <w:rPr>
          <w:rFonts w:eastAsia="Times New Roman" w:cs="Times New Roman"/>
          <w:i/>
          <w:iCs/>
          <w:color w:val="000000"/>
          <w:kern w:val="0"/>
          <w:szCs w:val="24"/>
          <w:lang w:eastAsia="es-ES_tradnl"/>
          <w14:ligatures w14:val="none"/>
        </w:rPr>
        <w:t>ii</w:t>
      </w:r>
      <w:proofErr w:type="spellEnd"/>
      <w:r w:rsidRPr="00C3762A">
        <w:rPr>
          <w:rFonts w:eastAsia="Times New Roman" w:cs="Times New Roman"/>
          <w:i/>
          <w:iCs/>
          <w:color w:val="000000"/>
          <w:kern w:val="0"/>
          <w:szCs w:val="24"/>
          <w:lang w:eastAsia="es-ES_tradnl"/>
          <w14:ligatures w14:val="none"/>
        </w:rPr>
        <w:t>) </w:t>
      </w:r>
      <w:r w:rsidRPr="00C3762A">
        <w:rPr>
          <w:rFonts w:eastAsia="Times New Roman" w:cs="Times New Roman"/>
          <w:b/>
          <w:bCs/>
          <w:i/>
          <w:iCs/>
          <w:color w:val="000000"/>
          <w:kern w:val="0"/>
          <w:szCs w:val="24"/>
          <w:u w:val="single"/>
          <w:lang w:eastAsia="es-ES_tradnl"/>
          <w14:ligatures w14:val="none"/>
        </w:rPr>
        <w:t>Decida</w:t>
      </w:r>
      <w:r w:rsidRPr="00C3762A">
        <w:rPr>
          <w:rFonts w:eastAsia="Times New Roman" w:cs="Times New Roman"/>
          <w:i/>
          <w:iCs/>
          <w:color w:val="000000"/>
          <w:kern w:val="0"/>
          <w:szCs w:val="24"/>
          <w:lang w:eastAsia="es-ES_tradnl"/>
          <w14:ligatures w14:val="none"/>
        </w:rPr>
        <w:t> la causa como de mero derecho, por tanto no sea abierta el lapso de prueba conforme a lo dispuesto en el artículo 295 del COT, 2020; (</w:t>
      </w:r>
      <w:proofErr w:type="spellStart"/>
      <w:r w:rsidRPr="00C3762A">
        <w:rPr>
          <w:rFonts w:eastAsia="Times New Roman" w:cs="Times New Roman"/>
          <w:i/>
          <w:iCs/>
          <w:color w:val="000000"/>
          <w:kern w:val="0"/>
          <w:szCs w:val="24"/>
          <w:lang w:eastAsia="es-ES_tradnl"/>
          <w14:ligatures w14:val="none"/>
        </w:rPr>
        <w:t>iii</w:t>
      </w:r>
      <w:proofErr w:type="spellEnd"/>
      <w:r w:rsidRPr="00C3762A">
        <w:rPr>
          <w:rFonts w:eastAsia="Times New Roman" w:cs="Times New Roman"/>
          <w:i/>
          <w:iCs/>
          <w:color w:val="000000"/>
          <w:kern w:val="0"/>
          <w:szCs w:val="24"/>
          <w:lang w:eastAsia="es-ES_tradnl"/>
          <w14:ligatures w14:val="none"/>
        </w:rPr>
        <w:t>) declare CON LUGAR el presente Recurso Contencioso Tributario en todas su partes, en total conformidad con lo que se solicita y, en consecuencia, </w:t>
      </w:r>
      <w:r w:rsidRPr="00C3762A">
        <w:rPr>
          <w:rFonts w:eastAsia="Times New Roman" w:cs="Times New Roman"/>
          <w:b/>
          <w:bCs/>
          <w:i/>
          <w:iCs/>
          <w:color w:val="000000"/>
          <w:kern w:val="0"/>
          <w:szCs w:val="24"/>
          <w:lang w:eastAsia="es-ES_tradnl"/>
          <w14:ligatures w14:val="none"/>
        </w:rPr>
        <w:t>Declare Nula</w:t>
      </w:r>
      <w:r w:rsidRPr="00C3762A">
        <w:rPr>
          <w:rFonts w:eastAsia="Times New Roman" w:cs="Times New Roman"/>
          <w:i/>
          <w:iCs/>
          <w:color w:val="000000"/>
          <w:kern w:val="0"/>
          <w:szCs w:val="24"/>
          <w:lang w:eastAsia="es-ES_tradnl"/>
          <w14:ligatures w14:val="none"/>
        </w:rPr>
        <w:t>, la Resolución de imposición de sanción por incumplimiento de deberes formales </w:t>
      </w:r>
      <w:r w:rsidRPr="00C3762A">
        <w:rPr>
          <w:rFonts w:eastAsia="Times New Roman" w:cs="Times New Roman"/>
          <w:color w:val="000000"/>
          <w:kern w:val="0"/>
          <w:szCs w:val="24"/>
          <w:lang w:eastAsia="es-ES_tradnl"/>
          <w14:ligatures w14:val="none"/>
        </w:rPr>
        <w:t>(…)”. (Resaltado y subrayado del texto original).</w:t>
      </w:r>
    </w:p>
    <w:p w14:paraId="71DF5C53" w14:textId="77777777" w:rsidR="00C3762A" w:rsidRPr="00C3762A" w:rsidRDefault="00C3762A" w:rsidP="00C3762A">
      <w:pPr>
        <w:spacing w:before="0" w:after="0"/>
        <w:ind w:firstLine="0"/>
        <w:jc w:val="center"/>
        <w:rPr>
          <w:rFonts w:eastAsia="Times New Roman" w:cs="Times New Roman"/>
          <w:color w:val="000000"/>
          <w:kern w:val="0"/>
          <w:sz w:val="28"/>
          <w:szCs w:val="28"/>
          <w:lang w:val="es-VE" w:eastAsia="es-ES_tradnl"/>
          <w14:ligatures w14:val="none"/>
        </w:rPr>
      </w:pPr>
      <w:r w:rsidRPr="00C3762A">
        <w:rPr>
          <w:rFonts w:eastAsia="Times New Roman" w:cs="Times New Roman"/>
          <w:b/>
          <w:bCs/>
          <w:color w:val="000000"/>
          <w:kern w:val="0"/>
          <w:szCs w:val="24"/>
          <w:lang w:val="es-VE" w:eastAsia="es-ES_tradnl"/>
          <w14:ligatures w14:val="none"/>
        </w:rPr>
        <w:t> </w:t>
      </w:r>
    </w:p>
    <w:p w14:paraId="20E5D34A" w14:textId="77777777" w:rsidR="00C3762A" w:rsidRPr="00C3762A" w:rsidRDefault="00C3762A" w:rsidP="00C3762A">
      <w:pPr>
        <w:spacing w:before="0" w:after="0"/>
        <w:ind w:firstLine="0"/>
        <w:jc w:val="center"/>
        <w:rPr>
          <w:rFonts w:eastAsia="Times New Roman" w:cs="Times New Roman"/>
          <w:color w:val="000000"/>
          <w:kern w:val="0"/>
          <w:sz w:val="28"/>
          <w:szCs w:val="28"/>
          <w:lang w:val="es-VE" w:eastAsia="es-ES_tradnl"/>
          <w14:ligatures w14:val="none"/>
        </w:rPr>
      </w:pPr>
      <w:r w:rsidRPr="00C3762A">
        <w:rPr>
          <w:rFonts w:eastAsia="Times New Roman" w:cs="Times New Roman"/>
          <w:b/>
          <w:bCs/>
          <w:color w:val="000000"/>
          <w:kern w:val="0"/>
          <w:szCs w:val="24"/>
          <w:lang w:val="es-VE" w:eastAsia="es-ES_tradnl"/>
          <w14:ligatures w14:val="none"/>
        </w:rPr>
        <w:t> </w:t>
      </w:r>
    </w:p>
    <w:p w14:paraId="2BE79061" w14:textId="77777777" w:rsidR="00C3762A" w:rsidRPr="00C3762A" w:rsidRDefault="00C3762A" w:rsidP="00C3762A">
      <w:pPr>
        <w:spacing w:before="0" w:after="0"/>
        <w:ind w:firstLine="0"/>
        <w:jc w:val="center"/>
        <w:rPr>
          <w:rFonts w:eastAsia="Times New Roman" w:cs="Times New Roman"/>
          <w:color w:val="000000"/>
          <w:kern w:val="0"/>
          <w:sz w:val="28"/>
          <w:szCs w:val="28"/>
          <w:lang w:val="es-VE" w:eastAsia="es-ES_tradnl"/>
          <w14:ligatures w14:val="none"/>
        </w:rPr>
      </w:pPr>
      <w:r w:rsidRPr="00C3762A">
        <w:rPr>
          <w:rFonts w:eastAsia="Times New Roman" w:cs="Times New Roman"/>
          <w:b/>
          <w:bCs/>
          <w:color w:val="000000"/>
          <w:kern w:val="0"/>
          <w:szCs w:val="24"/>
          <w:lang w:val="es-VE" w:eastAsia="es-ES_tradnl"/>
          <w14:ligatures w14:val="none"/>
        </w:rPr>
        <w:t>II</w:t>
      </w:r>
    </w:p>
    <w:p w14:paraId="6D9AB28D" w14:textId="77777777" w:rsidR="00C3762A" w:rsidRPr="00C3762A" w:rsidRDefault="00C3762A" w:rsidP="00C3762A">
      <w:pPr>
        <w:spacing w:before="0" w:after="0"/>
        <w:ind w:firstLine="0"/>
        <w:jc w:val="center"/>
        <w:rPr>
          <w:rFonts w:eastAsia="Times New Roman" w:cs="Times New Roman"/>
          <w:color w:val="000000"/>
          <w:kern w:val="0"/>
          <w:szCs w:val="24"/>
          <w:lang w:val="es-VE" w:eastAsia="es-ES_tradnl"/>
          <w14:ligatures w14:val="none"/>
        </w:rPr>
      </w:pPr>
      <w:r w:rsidRPr="00C3762A">
        <w:rPr>
          <w:rFonts w:eastAsia="Times New Roman" w:cs="Times New Roman"/>
          <w:b/>
          <w:bCs/>
          <w:color w:val="000000"/>
          <w:kern w:val="0"/>
          <w:szCs w:val="24"/>
          <w:lang w:val="es-VE" w:eastAsia="es-ES_tradnl"/>
          <w14:ligatures w14:val="none"/>
        </w:rPr>
        <w:lastRenderedPageBreak/>
        <w:t>DECISIÓN APELADA</w:t>
      </w:r>
    </w:p>
    <w:p w14:paraId="62C0B8D7" w14:textId="77777777" w:rsidR="00C3762A" w:rsidRPr="00C3762A" w:rsidRDefault="00C3762A" w:rsidP="00C3762A">
      <w:pPr>
        <w:spacing w:before="0" w:after="0"/>
        <w:ind w:firstLine="0"/>
        <w:jc w:val="center"/>
        <w:rPr>
          <w:rFonts w:eastAsia="Times New Roman" w:cs="Times New Roman"/>
          <w:color w:val="000000"/>
          <w:kern w:val="0"/>
          <w:szCs w:val="24"/>
          <w:lang w:val="es-VE" w:eastAsia="es-ES_tradnl"/>
          <w14:ligatures w14:val="none"/>
        </w:rPr>
      </w:pPr>
      <w:r w:rsidRPr="00C3762A">
        <w:rPr>
          <w:rFonts w:eastAsia="Times New Roman" w:cs="Times New Roman"/>
          <w:b/>
          <w:bCs/>
          <w:color w:val="000000"/>
          <w:kern w:val="0"/>
          <w:szCs w:val="24"/>
          <w:lang w:val="es-VE" w:eastAsia="es-ES_tradnl"/>
          <w14:ligatures w14:val="none"/>
        </w:rPr>
        <w:t> </w:t>
      </w:r>
    </w:p>
    <w:p w14:paraId="1680066C" w14:textId="77777777" w:rsidR="00C3762A" w:rsidRPr="00C3762A" w:rsidRDefault="00C3762A" w:rsidP="00C3762A">
      <w:pPr>
        <w:spacing w:before="0" w:after="0"/>
        <w:ind w:firstLine="0"/>
        <w:jc w:val="center"/>
        <w:rPr>
          <w:rFonts w:eastAsia="Times New Roman" w:cs="Times New Roman"/>
          <w:color w:val="000000"/>
          <w:kern w:val="0"/>
          <w:szCs w:val="24"/>
          <w:lang w:val="es-VE" w:eastAsia="es-ES_tradnl"/>
          <w14:ligatures w14:val="none"/>
        </w:rPr>
      </w:pPr>
      <w:r w:rsidRPr="00C3762A">
        <w:rPr>
          <w:rFonts w:eastAsia="Times New Roman" w:cs="Times New Roman"/>
          <w:b/>
          <w:bCs/>
          <w:color w:val="000000"/>
          <w:kern w:val="0"/>
          <w:szCs w:val="24"/>
          <w:lang w:val="es-VE" w:eastAsia="es-ES_tradnl"/>
          <w14:ligatures w14:val="none"/>
        </w:rPr>
        <w:t> </w:t>
      </w:r>
    </w:p>
    <w:p w14:paraId="48830971" w14:textId="77777777" w:rsidR="00C3762A" w:rsidRPr="00C3762A" w:rsidRDefault="00C3762A" w:rsidP="00C3762A">
      <w:pPr>
        <w:spacing w:before="0" w:after="0" w:line="420" w:lineRule="atLeast"/>
        <w:ind w:firstLine="680"/>
        <w:jc w:val="both"/>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val="es-VE" w:eastAsia="es-ES_tradnl"/>
          <w14:ligatures w14:val="none"/>
        </w:rPr>
        <w:t>El Tribunal Superior de lo Contencioso Tributario de la Región Guayana en fecha 16 de marzo de 2023, dictó la sentencia definitiva  Nro. PJ0662023000013, mediante la cual declaró </w:t>
      </w:r>
      <w:r w:rsidRPr="00C3762A">
        <w:rPr>
          <w:rFonts w:eastAsia="Times New Roman" w:cs="Times New Roman"/>
          <w:color w:val="000000"/>
          <w:kern w:val="0"/>
          <w:szCs w:val="24"/>
          <w:lang w:eastAsia="es-ES_tradnl"/>
          <w14:ligatures w14:val="none"/>
        </w:rPr>
        <w:t>parcialmente con lugar el recurso contencioso tributario interpuesto en fecha 21 de abril de 2022,</w:t>
      </w:r>
      <w:r w:rsidRPr="00C3762A">
        <w:rPr>
          <w:rFonts w:eastAsia="Times New Roman" w:cs="Times New Roman"/>
          <w:color w:val="000000"/>
          <w:kern w:val="0"/>
          <w:szCs w:val="24"/>
          <w:lang w:val="es-VE" w:eastAsia="es-ES_tradnl"/>
          <w14:ligatures w14:val="none"/>
        </w:rPr>
        <w:t> en los términos siguientes:</w:t>
      </w:r>
    </w:p>
    <w:p w14:paraId="660E1455" w14:textId="77777777" w:rsidR="00C3762A" w:rsidRPr="00C3762A" w:rsidRDefault="00C3762A" w:rsidP="00C3762A">
      <w:pPr>
        <w:ind w:left="1134" w:right="907" w:firstLine="0"/>
        <w:jc w:val="both"/>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val="es-VE" w:eastAsia="es-ES_tradnl"/>
          <w14:ligatures w14:val="none"/>
        </w:rPr>
        <w:t>“(…) </w:t>
      </w:r>
    </w:p>
    <w:p w14:paraId="452EEA61" w14:textId="77777777" w:rsidR="00C3762A" w:rsidRPr="00C3762A" w:rsidRDefault="00C3762A" w:rsidP="00C3762A">
      <w:pPr>
        <w:ind w:left="1134" w:right="907" w:firstLine="0"/>
        <w:jc w:val="center"/>
        <w:rPr>
          <w:rFonts w:eastAsia="Times New Roman" w:cs="Times New Roman"/>
          <w:color w:val="000000"/>
          <w:kern w:val="0"/>
          <w:sz w:val="28"/>
          <w:szCs w:val="28"/>
          <w:lang w:val="es-VE" w:eastAsia="es-ES_tradnl"/>
          <w14:ligatures w14:val="none"/>
        </w:rPr>
      </w:pPr>
      <w:r w:rsidRPr="00C3762A">
        <w:rPr>
          <w:rFonts w:eastAsia="Times New Roman" w:cs="Times New Roman"/>
          <w:b/>
          <w:bCs/>
          <w:i/>
          <w:iCs/>
          <w:color w:val="000000"/>
          <w:kern w:val="0"/>
          <w:szCs w:val="24"/>
          <w:lang w:eastAsia="es-ES_tradnl"/>
          <w14:ligatures w14:val="none"/>
        </w:rPr>
        <w:t>MOTIVACION PARA DECIDIR</w:t>
      </w:r>
    </w:p>
    <w:p w14:paraId="33E25B7D" w14:textId="77777777" w:rsidR="00C3762A" w:rsidRPr="00C3762A" w:rsidRDefault="00C3762A" w:rsidP="00C3762A">
      <w:pPr>
        <w:ind w:left="1134" w:right="907" w:firstLine="0"/>
        <w:jc w:val="both"/>
        <w:rPr>
          <w:rFonts w:eastAsia="Times New Roman" w:cs="Times New Roman"/>
          <w:color w:val="000000"/>
          <w:kern w:val="0"/>
          <w:sz w:val="28"/>
          <w:szCs w:val="28"/>
          <w:lang w:val="es-VE" w:eastAsia="es-ES_tradnl"/>
          <w14:ligatures w14:val="none"/>
        </w:rPr>
      </w:pPr>
      <w:r w:rsidRPr="00C3762A">
        <w:rPr>
          <w:rFonts w:eastAsia="Times New Roman" w:cs="Times New Roman"/>
          <w:i/>
          <w:iCs/>
          <w:color w:val="000000"/>
          <w:kern w:val="0"/>
          <w:szCs w:val="24"/>
          <w:lang w:eastAsia="es-ES_tradnl"/>
          <w14:ligatures w14:val="none"/>
        </w:rPr>
        <w:t xml:space="preserve">El </w:t>
      </w:r>
      <w:proofErr w:type="spellStart"/>
      <w:r w:rsidRPr="00C3762A">
        <w:rPr>
          <w:rFonts w:eastAsia="Times New Roman" w:cs="Times New Roman"/>
          <w:i/>
          <w:iCs/>
          <w:color w:val="000000"/>
          <w:kern w:val="0"/>
          <w:szCs w:val="24"/>
          <w:lang w:eastAsia="es-ES_tradnl"/>
          <w14:ligatures w14:val="none"/>
        </w:rPr>
        <w:t>thema</w:t>
      </w:r>
      <w:proofErr w:type="spellEnd"/>
      <w:r w:rsidRPr="00C3762A">
        <w:rPr>
          <w:rFonts w:eastAsia="Times New Roman" w:cs="Times New Roman"/>
          <w:i/>
          <w:iCs/>
          <w:color w:val="000000"/>
          <w:kern w:val="0"/>
          <w:szCs w:val="24"/>
          <w:lang w:eastAsia="es-ES_tradnl"/>
          <w14:ligatures w14:val="none"/>
        </w:rPr>
        <w:t xml:space="preserve"> </w:t>
      </w:r>
      <w:proofErr w:type="spellStart"/>
      <w:r w:rsidRPr="00C3762A">
        <w:rPr>
          <w:rFonts w:eastAsia="Times New Roman" w:cs="Times New Roman"/>
          <w:i/>
          <w:iCs/>
          <w:color w:val="000000"/>
          <w:kern w:val="0"/>
          <w:szCs w:val="24"/>
          <w:lang w:eastAsia="es-ES_tradnl"/>
          <w14:ligatures w14:val="none"/>
        </w:rPr>
        <w:t>decidendum</w:t>
      </w:r>
      <w:proofErr w:type="spellEnd"/>
      <w:r w:rsidRPr="00C3762A">
        <w:rPr>
          <w:rFonts w:eastAsia="Times New Roman" w:cs="Times New Roman"/>
          <w:i/>
          <w:iCs/>
          <w:color w:val="000000"/>
          <w:kern w:val="0"/>
          <w:szCs w:val="24"/>
          <w:lang w:eastAsia="es-ES_tradnl"/>
          <w14:ligatures w14:val="none"/>
        </w:rPr>
        <w:t xml:space="preserve">, se circunscribe a determinar si el Acto Administrativo contenido en la Resolución de Imposición de Sanción por Incumplimiento de Deberes Formales identificada con el N GEB/SAF/SAT/SATEEB/DD/GIF/DV/002/2022 de fecha 25 de </w:t>
      </w:r>
      <w:proofErr w:type="gramStart"/>
      <w:r w:rsidRPr="00C3762A">
        <w:rPr>
          <w:rFonts w:eastAsia="Times New Roman" w:cs="Times New Roman"/>
          <w:i/>
          <w:iCs/>
          <w:color w:val="000000"/>
          <w:kern w:val="0"/>
          <w:szCs w:val="24"/>
          <w:lang w:eastAsia="es-ES_tradnl"/>
          <w14:ligatures w14:val="none"/>
        </w:rPr>
        <w:t>Marzo</w:t>
      </w:r>
      <w:proofErr w:type="gramEnd"/>
      <w:r w:rsidRPr="00C3762A">
        <w:rPr>
          <w:rFonts w:eastAsia="Times New Roman" w:cs="Times New Roman"/>
          <w:i/>
          <w:iCs/>
          <w:color w:val="000000"/>
          <w:kern w:val="0"/>
          <w:szCs w:val="24"/>
          <w:lang w:eastAsia="es-ES_tradnl"/>
          <w14:ligatures w14:val="none"/>
        </w:rPr>
        <w:t xml:space="preserve"> de 2022, emanado del Servicio Autónomo de Administración Tributaria del Estado Bolívar, con ocasión a procedimiento de Verificación de Deberes Formales, ejecutado a la firma mercantil Licores La Orquídea, C.A., se encuentra incurso en:</w:t>
      </w:r>
    </w:p>
    <w:p w14:paraId="0DDC927F" w14:textId="77777777" w:rsidR="00C3762A" w:rsidRPr="00C3762A" w:rsidRDefault="00C3762A" w:rsidP="00C3762A">
      <w:pPr>
        <w:ind w:left="1134" w:right="907" w:firstLine="0"/>
        <w:jc w:val="both"/>
        <w:rPr>
          <w:rFonts w:eastAsia="Times New Roman" w:cs="Times New Roman"/>
          <w:color w:val="000000"/>
          <w:kern w:val="0"/>
          <w:sz w:val="28"/>
          <w:szCs w:val="28"/>
          <w:lang w:val="es-VE" w:eastAsia="es-ES_tradnl"/>
          <w14:ligatures w14:val="none"/>
        </w:rPr>
      </w:pPr>
      <w:r w:rsidRPr="00C3762A">
        <w:rPr>
          <w:rFonts w:eastAsia="Times New Roman" w:cs="Times New Roman"/>
          <w:i/>
          <w:iCs/>
          <w:color w:val="000000"/>
          <w:kern w:val="0"/>
          <w:szCs w:val="24"/>
          <w:lang w:eastAsia="es-ES_tradnl"/>
          <w14:ligatures w14:val="none"/>
        </w:rPr>
        <w:t>1. Violación del Principio de Irretroactividad de la Norma </w:t>
      </w:r>
    </w:p>
    <w:p w14:paraId="61ECBB92" w14:textId="77777777" w:rsidR="00C3762A" w:rsidRPr="00C3762A" w:rsidRDefault="00C3762A" w:rsidP="00C3762A">
      <w:pPr>
        <w:ind w:left="1134" w:right="907" w:firstLine="0"/>
        <w:jc w:val="both"/>
        <w:rPr>
          <w:rFonts w:eastAsia="Times New Roman" w:cs="Times New Roman"/>
          <w:color w:val="000000"/>
          <w:kern w:val="0"/>
          <w:sz w:val="28"/>
          <w:szCs w:val="28"/>
          <w:lang w:val="es-VE" w:eastAsia="es-ES_tradnl"/>
          <w14:ligatures w14:val="none"/>
        </w:rPr>
      </w:pPr>
      <w:r w:rsidRPr="00C3762A">
        <w:rPr>
          <w:rFonts w:eastAsia="Times New Roman" w:cs="Times New Roman"/>
          <w:i/>
          <w:iCs/>
          <w:color w:val="000000"/>
          <w:kern w:val="0"/>
          <w:szCs w:val="24"/>
          <w:lang w:eastAsia="es-ES_tradnl"/>
          <w14:ligatures w14:val="none"/>
        </w:rPr>
        <w:t xml:space="preserve">2. Vicio de </w:t>
      </w:r>
      <w:proofErr w:type="spellStart"/>
      <w:r w:rsidRPr="00C3762A">
        <w:rPr>
          <w:rFonts w:eastAsia="Times New Roman" w:cs="Times New Roman"/>
          <w:i/>
          <w:iCs/>
          <w:color w:val="000000"/>
          <w:kern w:val="0"/>
          <w:szCs w:val="24"/>
          <w:lang w:eastAsia="es-ES_tradnl"/>
          <w14:ligatures w14:val="none"/>
        </w:rPr>
        <w:t>Inmotivación</w:t>
      </w:r>
      <w:proofErr w:type="spellEnd"/>
      <w:r w:rsidRPr="00C3762A">
        <w:rPr>
          <w:rFonts w:eastAsia="Times New Roman" w:cs="Times New Roman"/>
          <w:i/>
          <w:iCs/>
          <w:color w:val="000000"/>
          <w:kern w:val="0"/>
          <w:szCs w:val="24"/>
          <w:lang w:eastAsia="es-ES_tradnl"/>
          <w14:ligatures w14:val="none"/>
        </w:rPr>
        <w:t>. </w:t>
      </w:r>
    </w:p>
    <w:p w14:paraId="51E4BB09" w14:textId="77777777" w:rsidR="00C3762A" w:rsidRPr="00C3762A" w:rsidRDefault="00C3762A" w:rsidP="00C3762A">
      <w:pPr>
        <w:ind w:left="1134" w:right="907" w:firstLine="0"/>
        <w:jc w:val="center"/>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eastAsia="es-ES_tradnl"/>
          <w14:ligatures w14:val="none"/>
        </w:rPr>
        <w:t>(…</w:t>
      </w:r>
      <w:proofErr w:type="spellStart"/>
      <w:r w:rsidRPr="00C3762A">
        <w:rPr>
          <w:rFonts w:eastAsia="Times New Roman" w:cs="Times New Roman"/>
          <w:color w:val="000000"/>
          <w:kern w:val="0"/>
          <w:szCs w:val="24"/>
          <w:lang w:eastAsia="es-ES_tradnl"/>
          <w14:ligatures w14:val="none"/>
        </w:rPr>
        <w:t>Omissis</w:t>
      </w:r>
      <w:proofErr w:type="spellEnd"/>
      <w:r w:rsidRPr="00C3762A">
        <w:rPr>
          <w:rFonts w:eastAsia="Times New Roman" w:cs="Times New Roman"/>
          <w:color w:val="000000"/>
          <w:kern w:val="0"/>
          <w:szCs w:val="24"/>
          <w:lang w:eastAsia="es-ES_tradnl"/>
          <w14:ligatures w14:val="none"/>
        </w:rPr>
        <w:t>…)</w:t>
      </w:r>
    </w:p>
    <w:p w14:paraId="4EE830CB" w14:textId="77777777" w:rsidR="00C3762A" w:rsidRPr="00C3762A" w:rsidRDefault="00C3762A" w:rsidP="00C3762A">
      <w:pPr>
        <w:ind w:left="1134" w:right="907" w:firstLine="0"/>
        <w:jc w:val="center"/>
        <w:rPr>
          <w:rFonts w:eastAsia="Times New Roman" w:cs="Times New Roman"/>
          <w:color w:val="000000"/>
          <w:kern w:val="0"/>
          <w:sz w:val="28"/>
          <w:szCs w:val="28"/>
          <w:lang w:val="es-VE" w:eastAsia="es-ES_tradnl"/>
          <w14:ligatures w14:val="none"/>
        </w:rPr>
      </w:pPr>
      <w:r w:rsidRPr="00C3762A">
        <w:rPr>
          <w:rFonts w:eastAsia="Times New Roman" w:cs="Times New Roman"/>
          <w:b/>
          <w:bCs/>
          <w:i/>
          <w:iCs/>
          <w:color w:val="000000"/>
          <w:kern w:val="0"/>
          <w:szCs w:val="24"/>
          <w:lang w:eastAsia="es-ES_tradnl"/>
          <w14:ligatures w14:val="none"/>
        </w:rPr>
        <w:t>DEL FONDO DE LA CONTROVERSIA</w:t>
      </w:r>
    </w:p>
    <w:p w14:paraId="3CA4C47F" w14:textId="77777777" w:rsidR="00C3762A" w:rsidRPr="00C3762A" w:rsidRDefault="00C3762A" w:rsidP="00C3762A">
      <w:pPr>
        <w:ind w:left="1134" w:right="907" w:firstLine="0"/>
        <w:jc w:val="both"/>
        <w:rPr>
          <w:rFonts w:eastAsia="Times New Roman" w:cs="Times New Roman"/>
          <w:color w:val="000000"/>
          <w:kern w:val="0"/>
          <w:sz w:val="28"/>
          <w:szCs w:val="28"/>
          <w:lang w:val="es-VE" w:eastAsia="es-ES_tradnl"/>
          <w14:ligatures w14:val="none"/>
        </w:rPr>
      </w:pPr>
      <w:r w:rsidRPr="00C3762A">
        <w:rPr>
          <w:rFonts w:eastAsia="Times New Roman" w:cs="Times New Roman"/>
          <w:i/>
          <w:iCs/>
          <w:color w:val="000000"/>
          <w:kern w:val="0"/>
          <w:szCs w:val="24"/>
          <w:lang w:eastAsia="es-ES_tradnl"/>
          <w14:ligatures w14:val="none"/>
        </w:rPr>
        <w:t xml:space="preserve">Como primer punto debatido por </w:t>
      </w:r>
      <w:proofErr w:type="gramStart"/>
      <w:r w:rsidRPr="00C3762A">
        <w:rPr>
          <w:rFonts w:eastAsia="Times New Roman" w:cs="Times New Roman"/>
          <w:i/>
          <w:iCs/>
          <w:color w:val="000000"/>
          <w:kern w:val="0"/>
          <w:szCs w:val="24"/>
          <w:lang w:eastAsia="es-ES_tradnl"/>
          <w14:ligatures w14:val="none"/>
        </w:rPr>
        <w:t>la partes</w:t>
      </w:r>
      <w:proofErr w:type="gramEnd"/>
      <w:r w:rsidRPr="00C3762A">
        <w:rPr>
          <w:rFonts w:eastAsia="Times New Roman" w:cs="Times New Roman"/>
          <w:i/>
          <w:iCs/>
          <w:color w:val="000000"/>
          <w:kern w:val="0"/>
          <w:szCs w:val="24"/>
          <w:lang w:eastAsia="es-ES_tradnl"/>
          <w14:ligatures w14:val="none"/>
        </w:rPr>
        <w:t xml:space="preserve">: está relacionado con la denuncia efectuada por la representación judicial de la contribuyente. relacionada a la presunta aplicación </w:t>
      </w:r>
      <w:proofErr w:type="spellStart"/>
      <w:r w:rsidRPr="00C3762A">
        <w:rPr>
          <w:rFonts w:eastAsia="Times New Roman" w:cs="Times New Roman"/>
          <w:i/>
          <w:iCs/>
          <w:color w:val="000000"/>
          <w:kern w:val="0"/>
          <w:szCs w:val="24"/>
          <w:lang w:eastAsia="es-ES_tradnl"/>
          <w14:ligatures w14:val="none"/>
        </w:rPr>
        <w:t>irretroactiva</w:t>
      </w:r>
      <w:proofErr w:type="spellEnd"/>
      <w:r w:rsidRPr="00C3762A">
        <w:rPr>
          <w:rFonts w:eastAsia="Times New Roman" w:cs="Times New Roman"/>
          <w:i/>
          <w:iCs/>
          <w:color w:val="000000"/>
          <w:kern w:val="0"/>
          <w:szCs w:val="24"/>
          <w:lang w:eastAsia="es-ES_tradnl"/>
          <w14:ligatures w14:val="none"/>
        </w:rPr>
        <w:t xml:space="preserve"> del valor del tipo de cambio para el cálculo de las multas por aplicación del artículo 91 Código Orgánico Tributario de 2020, y en la Ley de Reforma de la Ley de Timbre Fiscal del estado Bolívar del año 2022 a ilícitos tributarios causados bajo el imperio de la Ley de Timbre Fiscal del estado Bolívar del 2018. En este sentido, de la revisión efectuada al Acto Administrativo contenido en la Resolución de imposición de Sanción por Incumplimiento de Deberes Formales identificada con el No GEB SAF SAT SATEEB DD/GIF/DV/009/2022. </w:t>
      </w:r>
    </w:p>
    <w:p w14:paraId="1813136E" w14:textId="77777777" w:rsidR="00C3762A" w:rsidRPr="00C3762A" w:rsidRDefault="00C3762A" w:rsidP="00C3762A">
      <w:pPr>
        <w:ind w:left="1134" w:right="907" w:firstLine="0"/>
        <w:jc w:val="center"/>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eastAsia="es-ES_tradnl"/>
          <w14:ligatures w14:val="none"/>
        </w:rPr>
        <w:t>(…</w:t>
      </w:r>
      <w:proofErr w:type="spellStart"/>
      <w:r w:rsidRPr="00C3762A">
        <w:rPr>
          <w:rFonts w:eastAsia="Times New Roman" w:cs="Times New Roman"/>
          <w:color w:val="000000"/>
          <w:kern w:val="0"/>
          <w:szCs w:val="24"/>
          <w:lang w:eastAsia="es-ES_tradnl"/>
          <w14:ligatures w14:val="none"/>
        </w:rPr>
        <w:t>Omissis</w:t>
      </w:r>
      <w:proofErr w:type="spellEnd"/>
      <w:r w:rsidRPr="00C3762A">
        <w:rPr>
          <w:rFonts w:eastAsia="Times New Roman" w:cs="Times New Roman"/>
          <w:color w:val="000000"/>
          <w:kern w:val="0"/>
          <w:szCs w:val="24"/>
          <w:lang w:eastAsia="es-ES_tradnl"/>
          <w14:ligatures w14:val="none"/>
        </w:rPr>
        <w:t>…)</w:t>
      </w:r>
    </w:p>
    <w:p w14:paraId="2EDD2DE4" w14:textId="77777777" w:rsidR="00C3762A" w:rsidRPr="00C3762A" w:rsidRDefault="00C3762A" w:rsidP="00C3762A">
      <w:pPr>
        <w:ind w:left="1134" w:right="907" w:firstLine="0"/>
        <w:jc w:val="both"/>
        <w:rPr>
          <w:rFonts w:eastAsia="Times New Roman" w:cs="Times New Roman"/>
          <w:color w:val="000000"/>
          <w:kern w:val="0"/>
          <w:sz w:val="28"/>
          <w:szCs w:val="28"/>
          <w:lang w:val="es-VE" w:eastAsia="es-ES_tradnl"/>
          <w14:ligatures w14:val="none"/>
        </w:rPr>
      </w:pPr>
      <w:r w:rsidRPr="00C3762A">
        <w:rPr>
          <w:rFonts w:eastAsia="Times New Roman" w:cs="Times New Roman"/>
          <w:i/>
          <w:iCs/>
          <w:color w:val="000000"/>
          <w:kern w:val="0"/>
          <w:szCs w:val="24"/>
          <w:lang w:eastAsia="es-ES_tradnl"/>
          <w14:ligatures w14:val="none"/>
        </w:rPr>
        <w:t>Ahora bien, de acuerdo con lo alegado por las partes, y sobre la base de contenido del Acto Administrativo citado ut supra, se puede observar que:</w:t>
      </w:r>
    </w:p>
    <w:p w14:paraId="76364FE1" w14:textId="77777777" w:rsidR="00C3762A" w:rsidRPr="00C3762A" w:rsidRDefault="00C3762A" w:rsidP="00C3762A">
      <w:pPr>
        <w:ind w:left="1134" w:right="907" w:firstLine="0"/>
        <w:jc w:val="both"/>
        <w:rPr>
          <w:rFonts w:eastAsia="Times New Roman" w:cs="Times New Roman"/>
          <w:color w:val="000000"/>
          <w:kern w:val="0"/>
          <w:sz w:val="28"/>
          <w:szCs w:val="28"/>
          <w:lang w:val="es-VE" w:eastAsia="es-ES_tradnl"/>
          <w14:ligatures w14:val="none"/>
        </w:rPr>
      </w:pPr>
      <w:r w:rsidRPr="00C3762A">
        <w:rPr>
          <w:rFonts w:eastAsia="Times New Roman" w:cs="Times New Roman"/>
          <w:i/>
          <w:iCs/>
          <w:color w:val="000000"/>
          <w:kern w:val="0"/>
          <w:szCs w:val="24"/>
          <w:lang w:eastAsia="es-ES_tradnl"/>
          <w14:ligatures w14:val="none"/>
        </w:rPr>
        <w:t xml:space="preserve">El inicio de un procedimiento de Verificación de fecha 24 de </w:t>
      </w:r>
      <w:proofErr w:type="gramStart"/>
      <w:r w:rsidRPr="00C3762A">
        <w:rPr>
          <w:rFonts w:eastAsia="Times New Roman" w:cs="Times New Roman"/>
          <w:i/>
          <w:iCs/>
          <w:color w:val="000000"/>
          <w:kern w:val="0"/>
          <w:szCs w:val="24"/>
          <w:lang w:eastAsia="es-ES_tradnl"/>
          <w14:ligatures w14:val="none"/>
        </w:rPr>
        <w:t>Enero</w:t>
      </w:r>
      <w:proofErr w:type="gramEnd"/>
      <w:r w:rsidRPr="00C3762A">
        <w:rPr>
          <w:rFonts w:eastAsia="Times New Roman" w:cs="Times New Roman"/>
          <w:i/>
          <w:iCs/>
          <w:color w:val="000000"/>
          <w:kern w:val="0"/>
          <w:szCs w:val="24"/>
          <w:lang w:eastAsia="es-ES_tradnl"/>
          <w14:ligatures w14:val="none"/>
        </w:rPr>
        <w:t xml:space="preserve"> de 2022. dentro de los lineamientos establecidos en los artículos 182 al 186 del Decreto Constituyente que dicta el Código Orgánico Tributario de 2020, cuya actuación abarca los ejercicios 2019, 2020 y 2021. En </w:t>
      </w:r>
      <w:r w:rsidRPr="00C3762A">
        <w:rPr>
          <w:rFonts w:eastAsia="Times New Roman" w:cs="Times New Roman"/>
          <w:i/>
          <w:iCs/>
          <w:color w:val="000000"/>
          <w:kern w:val="0"/>
          <w:szCs w:val="24"/>
          <w:lang w:eastAsia="es-ES_tradnl"/>
          <w14:ligatures w14:val="none"/>
        </w:rPr>
        <w:lastRenderedPageBreak/>
        <w:t xml:space="preserve">cuanto a objeto del control fiscal, se refiere al deber formal de renovar los Registros y Autorización para el Expendio de Bebidas Alcohólicas, de acuerdo con lo establecido en el numeral 2 del artículo 10 de la Ley de Timbre Fiscal del estado Bolívar publicada en Gaceta Oficial Ordinaria N° 2408 de fecha 22 de </w:t>
      </w:r>
      <w:proofErr w:type="gramStart"/>
      <w:r w:rsidRPr="00C3762A">
        <w:rPr>
          <w:rFonts w:eastAsia="Times New Roman" w:cs="Times New Roman"/>
          <w:i/>
          <w:iCs/>
          <w:color w:val="000000"/>
          <w:kern w:val="0"/>
          <w:szCs w:val="24"/>
          <w:lang w:eastAsia="es-ES_tradnl"/>
          <w14:ligatures w14:val="none"/>
        </w:rPr>
        <w:t>Octubre</w:t>
      </w:r>
      <w:proofErr w:type="gramEnd"/>
      <w:r w:rsidRPr="00C3762A">
        <w:rPr>
          <w:rFonts w:eastAsia="Times New Roman" w:cs="Times New Roman"/>
          <w:i/>
          <w:iCs/>
          <w:color w:val="000000"/>
          <w:kern w:val="0"/>
          <w:szCs w:val="24"/>
          <w:lang w:eastAsia="es-ES_tradnl"/>
          <w14:ligatures w14:val="none"/>
        </w:rPr>
        <w:t xml:space="preserve"> de 2018.</w:t>
      </w:r>
    </w:p>
    <w:p w14:paraId="1CA35297" w14:textId="77777777" w:rsidR="00C3762A" w:rsidRPr="00C3762A" w:rsidRDefault="00C3762A" w:rsidP="00C3762A">
      <w:pPr>
        <w:ind w:left="1134" w:right="907" w:firstLine="0"/>
        <w:jc w:val="both"/>
        <w:rPr>
          <w:rFonts w:eastAsia="Times New Roman" w:cs="Times New Roman"/>
          <w:color w:val="000000"/>
          <w:kern w:val="0"/>
          <w:sz w:val="28"/>
          <w:szCs w:val="28"/>
          <w:lang w:val="es-VE" w:eastAsia="es-ES_tradnl"/>
          <w14:ligatures w14:val="none"/>
        </w:rPr>
      </w:pPr>
      <w:r w:rsidRPr="00C3762A">
        <w:rPr>
          <w:rFonts w:eastAsia="Times New Roman" w:cs="Times New Roman"/>
          <w:i/>
          <w:iCs/>
          <w:color w:val="000000"/>
          <w:kern w:val="0"/>
          <w:szCs w:val="24"/>
          <w:lang w:eastAsia="es-ES_tradnl"/>
          <w14:ligatures w14:val="none"/>
        </w:rPr>
        <w:t xml:space="preserve">De igual manera, se puede observar la graduación de la sanción, la cual, en principio se calcula de acuerdo con la norma sustantiva vigente para el momento en el cual se hizo exigible la obligación en el caso a quo, la Ley de Timbre Fiscal del Estado Bolívar del 2018, tomando en consideración las normas contenidas en los artículos 82 y 143 del Decreto Constituyente que dicta el Código Orgánico Tributario, y el ajuste de la sanción, aplicando el dispositivo contenido en el </w:t>
      </w:r>
      <w:proofErr w:type="spellStart"/>
      <w:r w:rsidRPr="00C3762A">
        <w:rPr>
          <w:rFonts w:eastAsia="Times New Roman" w:cs="Times New Roman"/>
          <w:i/>
          <w:iCs/>
          <w:color w:val="000000"/>
          <w:kern w:val="0"/>
          <w:szCs w:val="24"/>
          <w:lang w:eastAsia="es-ES_tradnl"/>
          <w14:ligatures w14:val="none"/>
        </w:rPr>
        <w:t>articulo</w:t>
      </w:r>
      <w:proofErr w:type="spellEnd"/>
      <w:r w:rsidRPr="00C3762A">
        <w:rPr>
          <w:rFonts w:eastAsia="Times New Roman" w:cs="Times New Roman"/>
          <w:i/>
          <w:iCs/>
          <w:color w:val="000000"/>
          <w:kern w:val="0"/>
          <w:szCs w:val="24"/>
          <w:lang w:eastAsia="es-ES_tradnl"/>
          <w14:ligatures w14:val="none"/>
        </w:rPr>
        <w:t xml:space="preserve"> 91 </w:t>
      </w:r>
      <w:proofErr w:type="spellStart"/>
      <w:r w:rsidRPr="00C3762A">
        <w:rPr>
          <w:rFonts w:eastAsia="Times New Roman" w:cs="Times New Roman"/>
          <w:i/>
          <w:iCs/>
          <w:color w:val="000000"/>
          <w:kern w:val="0"/>
          <w:szCs w:val="24"/>
          <w:lang w:eastAsia="es-ES_tradnl"/>
          <w14:ligatures w14:val="none"/>
        </w:rPr>
        <w:t>eiusdem</w:t>
      </w:r>
      <w:proofErr w:type="spellEnd"/>
      <w:r w:rsidRPr="00C3762A">
        <w:rPr>
          <w:rFonts w:eastAsia="Times New Roman" w:cs="Times New Roman"/>
          <w:i/>
          <w:iCs/>
          <w:color w:val="000000"/>
          <w:kern w:val="0"/>
          <w:szCs w:val="24"/>
          <w:lang w:eastAsia="es-ES_tradnl"/>
          <w14:ligatures w14:val="none"/>
        </w:rPr>
        <w:t xml:space="preserve"> y la Ley de Reforma de la Ley de Timbre Fiscal del Estado Bolívar, publicada en G.O., del estado Bolívar Ordinaria </w:t>
      </w:r>
      <w:proofErr w:type="spellStart"/>
      <w:r w:rsidRPr="00C3762A">
        <w:rPr>
          <w:rFonts w:eastAsia="Times New Roman" w:cs="Times New Roman"/>
          <w:i/>
          <w:iCs/>
          <w:color w:val="000000"/>
          <w:kern w:val="0"/>
          <w:szCs w:val="24"/>
          <w:lang w:eastAsia="es-ES_tradnl"/>
          <w14:ligatures w14:val="none"/>
        </w:rPr>
        <w:t>Nº</w:t>
      </w:r>
      <w:proofErr w:type="spellEnd"/>
      <w:r w:rsidRPr="00C3762A">
        <w:rPr>
          <w:rFonts w:eastAsia="Times New Roman" w:cs="Times New Roman"/>
          <w:i/>
          <w:iCs/>
          <w:color w:val="000000"/>
          <w:kern w:val="0"/>
          <w:szCs w:val="24"/>
          <w:lang w:eastAsia="es-ES_tradnl"/>
          <w14:ligatures w14:val="none"/>
        </w:rPr>
        <w:t xml:space="preserve"> 2766 de fecha 24 de Enero de 2022, convirtiendo las Unidades Tributarias a Unidades Tributarias Estadales.</w:t>
      </w:r>
    </w:p>
    <w:p w14:paraId="40A43B41" w14:textId="77777777" w:rsidR="00C3762A" w:rsidRPr="00C3762A" w:rsidRDefault="00C3762A" w:rsidP="00C3762A">
      <w:pPr>
        <w:ind w:left="1134" w:right="907" w:firstLine="0"/>
        <w:jc w:val="center"/>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eastAsia="es-ES_tradnl"/>
          <w14:ligatures w14:val="none"/>
        </w:rPr>
        <w:t>(…</w:t>
      </w:r>
      <w:proofErr w:type="spellStart"/>
      <w:r w:rsidRPr="00C3762A">
        <w:rPr>
          <w:rFonts w:eastAsia="Times New Roman" w:cs="Times New Roman"/>
          <w:color w:val="000000"/>
          <w:kern w:val="0"/>
          <w:szCs w:val="24"/>
          <w:lang w:eastAsia="es-ES_tradnl"/>
          <w14:ligatures w14:val="none"/>
        </w:rPr>
        <w:t>Omissis</w:t>
      </w:r>
      <w:proofErr w:type="spellEnd"/>
      <w:r w:rsidRPr="00C3762A">
        <w:rPr>
          <w:rFonts w:eastAsia="Times New Roman" w:cs="Times New Roman"/>
          <w:color w:val="000000"/>
          <w:kern w:val="0"/>
          <w:szCs w:val="24"/>
          <w:lang w:eastAsia="es-ES_tradnl"/>
          <w14:ligatures w14:val="none"/>
        </w:rPr>
        <w:t>…)</w:t>
      </w:r>
    </w:p>
    <w:p w14:paraId="778202A1" w14:textId="77777777" w:rsidR="00C3762A" w:rsidRPr="00C3762A" w:rsidRDefault="00C3762A" w:rsidP="00C3762A">
      <w:pPr>
        <w:ind w:left="1134" w:right="907" w:firstLine="0"/>
        <w:jc w:val="both"/>
        <w:rPr>
          <w:rFonts w:eastAsia="Times New Roman" w:cs="Times New Roman"/>
          <w:color w:val="000000"/>
          <w:kern w:val="0"/>
          <w:sz w:val="28"/>
          <w:szCs w:val="28"/>
          <w:lang w:val="es-VE" w:eastAsia="es-ES_tradnl"/>
          <w14:ligatures w14:val="none"/>
        </w:rPr>
      </w:pPr>
      <w:r w:rsidRPr="00C3762A">
        <w:rPr>
          <w:rFonts w:eastAsia="Times New Roman" w:cs="Times New Roman"/>
          <w:i/>
          <w:iCs/>
          <w:color w:val="000000"/>
          <w:kern w:val="0"/>
          <w:szCs w:val="24"/>
          <w:lang w:eastAsia="es-ES_tradnl"/>
          <w14:ligatures w14:val="none"/>
        </w:rPr>
        <w:t xml:space="preserve">Aunada a esta actividad inquisitiva en procura de la justicia, corresponde a este </w:t>
      </w:r>
      <w:proofErr w:type="spellStart"/>
      <w:r w:rsidRPr="00C3762A">
        <w:rPr>
          <w:rFonts w:eastAsia="Times New Roman" w:cs="Times New Roman"/>
          <w:i/>
          <w:iCs/>
          <w:color w:val="000000"/>
          <w:kern w:val="0"/>
          <w:szCs w:val="24"/>
          <w:lang w:eastAsia="es-ES_tradnl"/>
          <w14:ligatures w14:val="none"/>
        </w:rPr>
        <w:t>jurisdiscente</w:t>
      </w:r>
      <w:proofErr w:type="spellEnd"/>
      <w:r w:rsidRPr="00C3762A">
        <w:rPr>
          <w:rFonts w:eastAsia="Times New Roman" w:cs="Times New Roman"/>
          <w:i/>
          <w:iCs/>
          <w:color w:val="000000"/>
          <w:kern w:val="0"/>
          <w:szCs w:val="24"/>
          <w:lang w:eastAsia="es-ES_tradnl"/>
          <w14:ligatures w14:val="none"/>
        </w:rPr>
        <w:t xml:space="preserve"> evaluar si el acto administrativo contenido en la Resolución de Imposición de Sanción por Incumplimiento de Deberes Formales, identificada con el N° GEB/SAF/SAT/SATEEB/DD/GIF/DV/002/2022, incumple con el principio de Irretroactividad de la norma, consagrado en los artículos 24 de la Constitución de la República Bolivariana de Venezuela y 8 del Decreto Constituyente que dicta el Código Orgánico Tributario de 2020, los cuales señalan:</w:t>
      </w:r>
    </w:p>
    <w:p w14:paraId="51ABC868" w14:textId="77777777" w:rsidR="00C3762A" w:rsidRPr="00C3762A" w:rsidRDefault="00C3762A" w:rsidP="00C3762A">
      <w:pPr>
        <w:ind w:left="1134" w:right="907" w:firstLine="0"/>
        <w:jc w:val="center"/>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eastAsia="es-ES_tradnl"/>
          <w14:ligatures w14:val="none"/>
        </w:rPr>
        <w:t>(…</w:t>
      </w:r>
      <w:proofErr w:type="spellStart"/>
      <w:r w:rsidRPr="00C3762A">
        <w:rPr>
          <w:rFonts w:eastAsia="Times New Roman" w:cs="Times New Roman"/>
          <w:color w:val="000000"/>
          <w:kern w:val="0"/>
          <w:szCs w:val="24"/>
          <w:lang w:eastAsia="es-ES_tradnl"/>
          <w14:ligatures w14:val="none"/>
        </w:rPr>
        <w:t>Omissis</w:t>
      </w:r>
      <w:proofErr w:type="spellEnd"/>
      <w:r w:rsidRPr="00C3762A">
        <w:rPr>
          <w:rFonts w:eastAsia="Times New Roman" w:cs="Times New Roman"/>
          <w:color w:val="000000"/>
          <w:kern w:val="0"/>
          <w:szCs w:val="24"/>
          <w:lang w:eastAsia="es-ES_tradnl"/>
          <w14:ligatures w14:val="none"/>
        </w:rPr>
        <w:t>…)</w:t>
      </w:r>
    </w:p>
    <w:p w14:paraId="4634299A" w14:textId="77777777" w:rsidR="00C3762A" w:rsidRPr="00C3762A" w:rsidRDefault="00C3762A" w:rsidP="00C3762A">
      <w:pPr>
        <w:ind w:left="1134" w:right="907" w:firstLine="0"/>
        <w:jc w:val="both"/>
        <w:rPr>
          <w:rFonts w:eastAsia="Times New Roman" w:cs="Times New Roman"/>
          <w:color w:val="000000"/>
          <w:kern w:val="0"/>
          <w:sz w:val="28"/>
          <w:szCs w:val="28"/>
          <w:lang w:val="es-VE" w:eastAsia="es-ES_tradnl"/>
          <w14:ligatures w14:val="none"/>
        </w:rPr>
      </w:pPr>
      <w:r w:rsidRPr="00C3762A">
        <w:rPr>
          <w:rFonts w:eastAsia="Times New Roman" w:cs="Times New Roman"/>
          <w:i/>
          <w:iCs/>
          <w:color w:val="000000"/>
          <w:kern w:val="0"/>
          <w:szCs w:val="24"/>
          <w:lang w:eastAsia="es-ES_tradnl"/>
          <w14:ligatures w14:val="none"/>
        </w:rPr>
        <w:t>En el Acto Administrativo contenido en la Resolución de Imposición de Sanción por cumplimiento de Deberes Formales identificada con el N° GERSAF/SAT/SATEEB/DD/GIF/DV/ 002/2022, se sanciona el incumplimiento de un deber formal, el del ejercicio del Expendio de Bebidas Alcohólicas, sin haber efectuado la Renovación del Registro y Autorización para tal actividad, específicamente en cuanto al cumplimiento de la obligación dineraria contenida en el numeral 2 del artículo 40 de la Ley del Timbre Fiscal del Estado Bolívar de 2018. correspondientes a los ejercicios 2019, 2020 y 2021.</w:t>
      </w:r>
    </w:p>
    <w:p w14:paraId="5A2CE165" w14:textId="77777777" w:rsidR="00C3762A" w:rsidRPr="00C3762A" w:rsidRDefault="00C3762A" w:rsidP="00C3762A">
      <w:pPr>
        <w:ind w:left="1134" w:right="907" w:firstLine="0"/>
        <w:jc w:val="both"/>
        <w:rPr>
          <w:rFonts w:eastAsia="Times New Roman" w:cs="Times New Roman"/>
          <w:color w:val="000000"/>
          <w:kern w:val="0"/>
          <w:sz w:val="28"/>
          <w:szCs w:val="28"/>
          <w:lang w:val="es-VE" w:eastAsia="es-ES_tradnl"/>
          <w14:ligatures w14:val="none"/>
        </w:rPr>
      </w:pPr>
      <w:r w:rsidRPr="00C3762A">
        <w:rPr>
          <w:rFonts w:eastAsia="Times New Roman" w:cs="Times New Roman"/>
          <w:i/>
          <w:iCs/>
          <w:color w:val="000000"/>
          <w:kern w:val="0"/>
          <w:szCs w:val="24"/>
          <w:lang w:eastAsia="es-ES_tradnl"/>
          <w14:ligatures w14:val="none"/>
        </w:rPr>
        <w:t xml:space="preserve">En este sentido, es menester resaltar que la nueva geopolítica en el Sistema Tributario venezolano plantea un nuevo escenario, en cuanto a esta materia de Licores y Especies Alcohólicas: y la norma sustantiva para que el control fiscal de la actividad del expendio de bebidas alcohólicas, ahora está contenida en la Ordenanza sobre funcionamiento de Expendio y Distribución de Bebidas Alcohólicas y de Índole similar, sancionada por el Concejo del Municipio Angostura del Orinoco (antes Heres), la cual es creada como producto de la nueva </w:t>
      </w:r>
      <w:r w:rsidRPr="00C3762A">
        <w:rPr>
          <w:rFonts w:eastAsia="Times New Roman" w:cs="Times New Roman"/>
          <w:i/>
          <w:iCs/>
          <w:color w:val="000000"/>
          <w:kern w:val="0"/>
          <w:szCs w:val="24"/>
          <w:lang w:eastAsia="es-ES_tradnl"/>
          <w14:ligatures w14:val="none"/>
        </w:rPr>
        <w:lastRenderedPageBreak/>
        <w:t xml:space="preserve">geometría que establece la distribución del poder público en vertical y horizontal contenido en la Constitución de la República Bolivariana de Venezuela, y la Ley de Impuesto sobre Alcohol y Especies Alcohólicas, cuya reforma fue dictada en fecha 28 de Julio de 2005 y publicada en </w:t>
      </w:r>
      <w:proofErr w:type="spellStart"/>
      <w:r w:rsidRPr="00C3762A">
        <w:rPr>
          <w:rFonts w:eastAsia="Times New Roman" w:cs="Times New Roman"/>
          <w:i/>
          <w:iCs/>
          <w:color w:val="000000"/>
          <w:kern w:val="0"/>
          <w:szCs w:val="24"/>
          <w:lang w:eastAsia="es-ES_tradnl"/>
          <w14:ligatures w14:val="none"/>
        </w:rPr>
        <w:t>G.O.N°</w:t>
      </w:r>
      <w:proofErr w:type="spellEnd"/>
      <w:r w:rsidRPr="00C3762A">
        <w:rPr>
          <w:rFonts w:eastAsia="Times New Roman" w:cs="Times New Roman"/>
          <w:i/>
          <w:iCs/>
          <w:color w:val="000000"/>
          <w:kern w:val="0"/>
          <w:szCs w:val="24"/>
          <w:lang w:eastAsia="es-ES_tradnl"/>
          <w14:ligatures w14:val="none"/>
        </w:rPr>
        <w:t xml:space="preserve"> 38.238, reimpresa por error material en </w:t>
      </w:r>
      <w:proofErr w:type="spellStart"/>
      <w:r w:rsidRPr="00C3762A">
        <w:rPr>
          <w:rFonts w:eastAsia="Times New Roman" w:cs="Times New Roman"/>
          <w:i/>
          <w:iCs/>
          <w:color w:val="000000"/>
          <w:kern w:val="0"/>
          <w:szCs w:val="24"/>
          <w:lang w:eastAsia="es-ES_tradnl"/>
          <w14:ligatures w14:val="none"/>
        </w:rPr>
        <w:t>G.O.N°</w:t>
      </w:r>
      <w:proofErr w:type="spellEnd"/>
      <w:r w:rsidRPr="00C3762A">
        <w:rPr>
          <w:rFonts w:eastAsia="Times New Roman" w:cs="Times New Roman"/>
          <w:i/>
          <w:iCs/>
          <w:color w:val="000000"/>
          <w:kern w:val="0"/>
          <w:szCs w:val="24"/>
          <w:lang w:eastAsia="es-ES_tradnl"/>
          <w14:ligatures w14:val="none"/>
        </w:rPr>
        <w:t xml:space="preserve"> 38.279 en fecha 23 de Septiembre de 2005, y finalmente en la </w:t>
      </w:r>
      <w:proofErr w:type="spellStart"/>
      <w:r w:rsidRPr="00C3762A">
        <w:rPr>
          <w:rFonts w:eastAsia="Times New Roman" w:cs="Times New Roman"/>
          <w:i/>
          <w:iCs/>
          <w:color w:val="000000"/>
          <w:kern w:val="0"/>
          <w:szCs w:val="24"/>
          <w:lang w:eastAsia="es-ES_tradnl"/>
          <w14:ligatures w14:val="none"/>
        </w:rPr>
        <w:t>G.O.N°</w:t>
      </w:r>
      <w:proofErr w:type="spellEnd"/>
      <w:r w:rsidRPr="00C3762A">
        <w:rPr>
          <w:rFonts w:eastAsia="Times New Roman" w:cs="Times New Roman"/>
          <w:i/>
          <w:iCs/>
          <w:color w:val="000000"/>
          <w:kern w:val="0"/>
          <w:szCs w:val="24"/>
          <w:lang w:eastAsia="es-ES_tradnl"/>
          <w14:ligatures w14:val="none"/>
        </w:rPr>
        <w:t xml:space="preserve"> 38,286 de fecha 4 de Octubre de 2005, actualmente vigente, la cual establece en su artículo 46:</w:t>
      </w:r>
    </w:p>
    <w:p w14:paraId="06CFC17A" w14:textId="77777777" w:rsidR="00C3762A" w:rsidRPr="00C3762A" w:rsidRDefault="00C3762A" w:rsidP="00C3762A">
      <w:pPr>
        <w:ind w:left="1134" w:right="907" w:firstLine="0"/>
        <w:jc w:val="center"/>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eastAsia="es-ES_tradnl"/>
          <w14:ligatures w14:val="none"/>
        </w:rPr>
        <w:t>(…</w:t>
      </w:r>
      <w:proofErr w:type="spellStart"/>
      <w:r w:rsidRPr="00C3762A">
        <w:rPr>
          <w:rFonts w:eastAsia="Times New Roman" w:cs="Times New Roman"/>
          <w:color w:val="000000"/>
          <w:kern w:val="0"/>
          <w:szCs w:val="24"/>
          <w:lang w:eastAsia="es-ES_tradnl"/>
          <w14:ligatures w14:val="none"/>
        </w:rPr>
        <w:t>Omissis</w:t>
      </w:r>
      <w:proofErr w:type="spellEnd"/>
      <w:r w:rsidRPr="00C3762A">
        <w:rPr>
          <w:rFonts w:eastAsia="Times New Roman" w:cs="Times New Roman"/>
          <w:color w:val="000000"/>
          <w:kern w:val="0"/>
          <w:szCs w:val="24"/>
          <w:lang w:eastAsia="es-ES_tradnl"/>
          <w14:ligatures w14:val="none"/>
        </w:rPr>
        <w:t>…)</w:t>
      </w:r>
    </w:p>
    <w:p w14:paraId="6B3E1A5E" w14:textId="77777777" w:rsidR="00C3762A" w:rsidRPr="00C3762A" w:rsidRDefault="00C3762A" w:rsidP="00C3762A">
      <w:pPr>
        <w:ind w:left="1134" w:right="907" w:firstLine="0"/>
        <w:jc w:val="both"/>
        <w:rPr>
          <w:rFonts w:eastAsia="Times New Roman" w:cs="Times New Roman"/>
          <w:color w:val="000000"/>
          <w:kern w:val="0"/>
          <w:sz w:val="28"/>
          <w:szCs w:val="28"/>
          <w:lang w:val="es-VE" w:eastAsia="es-ES_tradnl"/>
          <w14:ligatures w14:val="none"/>
        </w:rPr>
      </w:pPr>
      <w:r w:rsidRPr="00C3762A">
        <w:rPr>
          <w:rFonts w:eastAsia="Times New Roman" w:cs="Times New Roman"/>
          <w:i/>
          <w:iCs/>
          <w:color w:val="000000"/>
          <w:kern w:val="0"/>
          <w:szCs w:val="24"/>
          <w:lang w:eastAsia="es-ES_tradnl"/>
          <w14:ligatures w14:val="none"/>
        </w:rPr>
        <w:t xml:space="preserve">En el mismo orden de ideas, en </w:t>
      </w:r>
      <w:proofErr w:type="spellStart"/>
      <w:r w:rsidRPr="00C3762A">
        <w:rPr>
          <w:rFonts w:eastAsia="Times New Roman" w:cs="Times New Roman"/>
          <w:i/>
          <w:iCs/>
          <w:color w:val="000000"/>
          <w:kern w:val="0"/>
          <w:szCs w:val="24"/>
          <w:lang w:eastAsia="es-ES_tradnl"/>
          <w14:ligatures w14:val="none"/>
        </w:rPr>
        <w:t>G.</w:t>
      </w:r>
      <w:proofErr w:type="gramStart"/>
      <w:r w:rsidRPr="00C3762A">
        <w:rPr>
          <w:rFonts w:eastAsia="Times New Roman" w:cs="Times New Roman"/>
          <w:i/>
          <w:iCs/>
          <w:color w:val="000000"/>
          <w:kern w:val="0"/>
          <w:szCs w:val="24"/>
          <w:lang w:eastAsia="es-ES_tradnl"/>
          <w14:ligatures w14:val="none"/>
        </w:rPr>
        <w:t>O.N</w:t>
      </w:r>
      <w:proofErr w:type="gramEnd"/>
      <w:r w:rsidRPr="00C3762A">
        <w:rPr>
          <w:rFonts w:eastAsia="Times New Roman" w:cs="Times New Roman"/>
          <w:i/>
          <w:iCs/>
          <w:color w:val="000000"/>
          <w:kern w:val="0"/>
          <w:szCs w:val="24"/>
          <w:lang w:eastAsia="es-ES_tradnl"/>
          <w14:ligatures w14:val="none"/>
        </w:rPr>
        <w:t>°</w:t>
      </w:r>
      <w:proofErr w:type="spellEnd"/>
      <w:r w:rsidRPr="00C3762A">
        <w:rPr>
          <w:rFonts w:eastAsia="Times New Roman" w:cs="Times New Roman"/>
          <w:i/>
          <w:iCs/>
          <w:color w:val="000000"/>
          <w:kern w:val="0"/>
          <w:szCs w:val="24"/>
          <w:lang w:eastAsia="es-ES_tradnl"/>
          <w14:ligatures w14:val="none"/>
        </w:rPr>
        <w:t xml:space="preserve"> 38.784 de fecha 5 de Octubre de 2007, es reformada la Ley de Impuesto sobre Alcohol y Especies Alcohólicas, la cual, a su vez fue publicada en </w:t>
      </w:r>
      <w:proofErr w:type="spellStart"/>
      <w:r w:rsidRPr="00C3762A">
        <w:rPr>
          <w:rFonts w:eastAsia="Times New Roman" w:cs="Times New Roman"/>
          <w:i/>
          <w:iCs/>
          <w:color w:val="000000"/>
          <w:kern w:val="0"/>
          <w:szCs w:val="24"/>
          <w:lang w:eastAsia="es-ES_tradnl"/>
          <w14:ligatures w14:val="none"/>
        </w:rPr>
        <w:t>G.O.N°</w:t>
      </w:r>
      <w:proofErr w:type="spellEnd"/>
      <w:r w:rsidRPr="00C3762A">
        <w:rPr>
          <w:rFonts w:eastAsia="Times New Roman" w:cs="Times New Roman"/>
          <w:i/>
          <w:iCs/>
          <w:color w:val="000000"/>
          <w:kern w:val="0"/>
          <w:szCs w:val="24"/>
          <w:lang w:eastAsia="es-ES_tradnl"/>
          <w14:ligatures w14:val="none"/>
        </w:rPr>
        <w:t xml:space="preserve"> 5.852 del mismo día, en la mismas se suprime el contenido del artículo 46 y pasó a ser el artículo 43, en los siguientes términos:</w:t>
      </w:r>
    </w:p>
    <w:p w14:paraId="48867911" w14:textId="77777777" w:rsidR="00C3762A" w:rsidRPr="00C3762A" w:rsidRDefault="00C3762A" w:rsidP="00C3762A">
      <w:pPr>
        <w:ind w:left="1134" w:right="907" w:firstLine="0"/>
        <w:jc w:val="center"/>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eastAsia="es-ES_tradnl"/>
          <w14:ligatures w14:val="none"/>
        </w:rPr>
        <w:t>(…</w:t>
      </w:r>
      <w:proofErr w:type="spellStart"/>
      <w:r w:rsidRPr="00C3762A">
        <w:rPr>
          <w:rFonts w:eastAsia="Times New Roman" w:cs="Times New Roman"/>
          <w:color w:val="000000"/>
          <w:kern w:val="0"/>
          <w:szCs w:val="24"/>
          <w:lang w:eastAsia="es-ES_tradnl"/>
          <w14:ligatures w14:val="none"/>
        </w:rPr>
        <w:t>Omissis</w:t>
      </w:r>
      <w:proofErr w:type="spellEnd"/>
      <w:r w:rsidRPr="00C3762A">
        <w:rPr>
          <w:rFonts w:eastAsia="Times New Roman" w:cs="Times New Roman"/>
          <w:color w:val="000000"/>
          <w:kern w:val="0"/>
          <w:szCs w:val="24"/>
          <w:lang w:eastAsia="es-ES_tradnl"/>
          <w14:ligatures w14:val="none"/>
        </w:rPr>
        <w:t>…)</w:t>
      </w:r>
    </w:p>
    <w:p w14:paraId="69DF50D3" w14:textId="77777777" w:rsidR="00C3762A" w:rsidRPr="00C3762A" w:rsidRDefault="00C3762A" w:rsidP="00C3762A">
      <w:pPr>
        <w:ind w:left="1134" w:right="907" w:firstLine="0"/>
        <w:jc w:val="both"/>
        <w:rPr>
          <w:rFonts w:eastAsia="Times New Roman" w:cs="Times New Roman"/>
          <w:color w:val="000000"/>
          <w:kern w:val="0"/>
          <w:sz w:val="28"/>
          <w:szCs w:val="28"/>
          <w:lang w:val="es-VE" w:eastAsia="es-ES_tradnl"/>
          <w14:ligatures w14:val="none"/>
        </w:rPr>
      </w:pPr>
      <w:r w:rsidRPr="00C3762A">
        <w:rPr>
          <w:rFonts w:eastAsia="Times New Roman" w:cs="Times New Roman"/>
          <w:i/>
          <w:iCs/>
          <w:color w:val="000000"/>
          <w:kern w:val="0"/>
          <w:szCs w:val="24"/>
          <w:lang w:eastAsia="es-ES_tradnl"/>
          <w14:ligatures w14:val="none"/>
        </w:rPr>
        <w:t xml:space="preserve">El contenido referido a la competencia otorgada a los municipios fue suprimido en este </w:t>
      </w:r>
      <w:proofErr w:type="spellStart"/>
      <w:r w:rsidRPr="00C3762A">
        <w:rPr>
          <w:rFonts w:eastAsia="Times New Roman" w:cs="Times New Roman"/>
          <w:i/>
          <w:iCs/>
          <w:color w:val="000000"/>
          <w:kern w:val="0"/>
          <w:szCs w:val="24"/>
          <w:lang w:eastAsia="es-ES_tradnl"/>
          <w14:ligatures w14:val="none"/>
        </w:rPr>
        <w:t>articulo</w:t>
      </w:r>
      <w:proofErr w:type="spellEnd"/>
      <w:r w:rsidRPr="00C3762A">
        <w:rPr>
          <w:rFonts w:eastAsia="Times New Roman" w:cs="Times New Roman"/>
          <w:i/>
          <w:iCs/>
          <w:color w:val="000000"/>
          <w:kern w:val="0"/>
          <w:szCs w:val="24"/>
          <w:lang w:eastAsia="es-ES_tradnl"/>
          <w14:ligatures w14:val="none"/>
        </w:rPr>
        <w:t xml:space="preserve">, sin embargo, en el </w:t>
      </w:r>
      <w:proofErr w:type="spellStart"/>
      <w:r w:rsidRPr="00C3762A">
        <w:rPr>
          <w:rFonts w:eastAsia="Times New Roman" w:cs="Times New Roman"/>
          <w:i/>
          <w:iCs/>
          <w:color w:val="000000"/>
          <w:kern w:val="0"/>
          <w:szCs w:val="24"/>
          <w:lang w:eastAsia="es-ES_tradnl"/>
          <w14:ligatures w14:val="none"/>
        </w:rPr>
        <w:t>articulo</w:t>
      </w:r>
      <w:proofErr w:type="spellEnd"/>
      <w:r w:rsidRPr="00C3762A">
        <w:rPr>
          <w:rFonts w:eastAsia="Times New Roman" w:cs="Times New Roman"/>
          <w:i/>
          <w:iCs/>
          <w:color w:val="000000"/>
          <w:kern w:val="0"/>
          <w:szCs w:val="24"/>
          <w:lang w:eastAsia="es-ES_tradnl"/>
          <w14:ligatures w14:val="none"/>
        </w:rPr>
        <w:t xml:space="preserve"> 48 en la Disposición Transitoria Única, mantiene la competencia al ente municipal para el otorgamiento de los Registros y Autorizaciones para el expendio de bebidas alcohólicas, en los siguientes términos:</w:t>
      </w:r>
    </w:p>
    <w:p w14:paraId="372C8BB7" w14:textId="77777777" w:rsidR="00C3762A" w:rsidRPr="00C3762A" w:rsidRDefault="00C3762A" w:rsidP="00C3762A">
      <w:pPr>
        <w:ind w:left="1134" w:right="907" w:firstLine="0"/>
        <w:jc w:val="center"/>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eastAsia="es-ES_tradnl"/>
          <w14:ligatures w14:val="none"/>
        </w:rPr>
        <w:t>(…</w:t>
      </w:r>
      <w:proofErr w:type="spellStart"/>
      <w:r w:rsidRPr="00C3762A">
        <w:rPr>
          <w:rFonts w:eastAsia="Times New Roman" w:cs="Times New Roman"/>
          <w:color w:val="000000"/>
          <w:kern w:val="0"/>
          <w:szCs w:val="24"/>
          <w:lang w:eastAsia="es-ES_tradnl"/>
          <w14:ligatures w14:val="none"/>
        </w:rPr>
        <w:t>Omissis</w:t>
      </w:r>
      <w:proofErr w:type="spellEnd"/>
      <w:r w:rsidRPr="00C3762A">
        <w:rPr>
          <w:rFonts w:eastAsia="Times New Roman" w:cs="Times New Roman"/>
          <w:color w:val="000000"/>
          <w:kern w:val="0"/>
          <w:szCs w:val="24"/>
          <w:lang w:eastAsia="es-ES_tradnl"/>
          <w14:ligatures w14:val="none"/>
        </w:rPr>
        <w:t>…)</w:t>
      </w:r>
    </w:p>
    <w:p w14:paraId="42F8B5E2" w14:textId="77777777" w:rsidR="00C3762A" w:rsidRPr="00C3762A" w:rsidRDefault="00C3762A" w:rsidP="00C3762A">
      <w:pPr>
        <w:ind w:left="1134" w:right="907" w:firstLine="0"/>
        <w:jc w:val="both"/>
        <w:rPr>
          <w:rFonts w:eastAsia="Times New Roman" w:cs="Times New Roman"/>
          <w:color w:val="000000"/>
          <w:kern w:val="0"/>
          <w:sz w:val="28"/>
          <w:szCs w:val="28"/>
          <w:lang w:val="es-VE" w:eastAsia="es-ES_tradnl"/>
          <w14:ligatures w14:val="none"/>
        </w:rPr>
      </w:pPr>
      <w:r w:rsidRPr="00C3762A">
        <w:rPr>
          <w:rFonts w:eastAsia="Times New Roman" w:cs="Times New Roman"/>
          <w:i/>
          <w:iCs/>
          <w:color w:val="000000"/>
          <w:kern w:val="0"/>
          <w:szCs w:val="24"/>
          <w:lang w:eastAsia="es-ES_tradnl"/>
          <w14:ligatures w14:val="none"/>
        </w:rPr>
        <w:t>En virtud que hasta la fecha no se ha dictado ninguna disposición al respecto, se mantiene como norma reguladora las Ordenanzas dictadas en la materia por la Alcaldía de la localidad, en este sentido, la Alcaldía del Municipio Angostura del Orinoco, en fecha 21 de noviembre de 2019, dicta Reforma Parcial a la Ordenanza sobre Funcionamiento de Expendio y Distribución de Bebidas Alcohólica y de Índole similar. y en el Capítulo VI De la Renovación de la Licencia para el Expendio de Bebidas Alcohólicas, los artículos 21° y 22° señala:</w:t>
      </w:r>
    </w:p>
    <w:p w14:paraId="5A66871A" w14:textId="77777777" w:rsidR="00C3762A" w:rsidRPr="00C3762A" w:rsidRDefault="00C3762A" w:rsidP="00C3762A">
      <w:pPr>
        <w:ind w:left="1134" w:right="907" w:firstLine="0"/>
        <w:jc w:val="center"/>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eastAsia="es-ES_tradnl"/>
          <w14:ligatures w14:val="none"/>
        </w:rPr>
        <w:t>(…</w:t>
      </w:r>
      <w:proofErr w:type="spellStart"/>
      <w:r w:rsidRPr="00C3762A">
        <w:rPr>
          <w:rFonts w:eastAsia="Times New Roman" w:cs="Times New Roman"/>
          <w:color w:val="000000"/>
          <w:kern w:val="0"/>
          <w:szCs w:val="24"/>
          <w:lang w:eastAsia="es-ES_tradnl"/>
          <w14:ligatures w14:val="none"/>
        </w:rPr>
        <w:t>Omissis</w:t>
      </w:r>
      <w:proofErr w:type="spellEnd"/>
      <w:r w:rsidRPr="00C3762A">
        <w:rPr>
          <w:rFonts w:eastAsia="Times New Roman" w:cs="Times New Roman"/>
          <w:color w:val="000000"/>
          <w:kern w:val="0"/>
          <w:szCs w:val="24"/>
          <w:lang w:eastAsia="es-ES_tradnl"/>
          <w14:ligatures w14:val="none"/>
        </w:rPr>
        <w:t>…)</w:t>
      </w:r>
    </w:p>
    <w:p w14:paraId="2A59CEC8" w14:textId="77777777" w:rsidR="00C3762A" w:rsidRPr="00C3762A" w:rsidRDefault="00C3762A" w:rsidP="00C3762A">
      <w:pPr>
        <w:ind w:left="1134" w:right="907" w:firstLine="0"/>
        <w:jc w:val="both"/>
        <w:rPr>
          <w:rFonts w:eastAsia="Times New Roman" w:cs="Times New Roman"/>
          <w:color w:val="000000"/>
          <w:kern w:val="0"/>
          <w:sz w:val="28"/>
          <w:szCs w:val="28"/>
          <w:lang w:val="es-VE" w:eastAsia="es-ES_tradnl"/>
          <w14:ligatures w14:val="none"/>
        </w:rPr>
      </w:pPr>
      <w:r w:rsidRPr="00C3762A">
        <w:rPr>
          <w:rFonts w:eastAsia="Times New Roman" w:cs="Times New Roman"/>
          <w:i/>
          <w:iCs/>
          <w:color w:val="000000"/>
          <w:kern w:val="0"/>
          <w:szCs w:val="24"/>
          <w:lang w:eastAsia="es-ES_tradnl"/>
          <w14:ligatures w14:val="none"/>
        </w:rPr>
        <w:t>Una vez determinadas las competencias de las Administraciones Tributarias, este Tribunal Superior de lo Contencioso Tributario, pasa a analizar la legalidad del título jurídico regular reclamado por la Administración Tributaria Estadal, el cual, no viene dado por la prestación directa de un servicio, sino más bien, por una forma que la Asamblea Nacional Constituyente encontró para que los Estados tuvieran una participación en la distribución de los ingresos vía tributaria, a través de la recaudación del ramo de estampillas, timbres fiscales y el papel sellado, para la inversión social del tributo en los estados.</w:t>
      </w:r>
    </w:p>
    <w:p w14:paraId="525E9C6E" w14:textId="77777777" w:rsidR="00C3762A" w:rsidRPr="00C3762A" w:rsidRDefault="00C3762A" w:rsidP="00C3762A">
      <w:pPr>
        <w:ind w:left="1134" w:right="907" w:firstLine="0"/>
        <w:jc w:val="both"/>
        <w:rPr>
          <w:rFonts w:eastAsia="Times New Roman" w:cs="Times New Roman"/>
          <w:color w:val="000000"/>
          <w:kern w:val="0"/>
          <w:sz w:val="28"/>
          <w:szCs w:val="28"/>
          <w:lang w:val="es-VE" w:eastAsia="es-ES_tradnl"/>
          <w14:ligatures w14:val="none"/>
        </w:rPr>
      </w:pPr>
      <w:r w:rsidRPr="00C3762A">
        <w:rPr>
          <w:rFonts w:eastAsia="Times New Roman" w:cs="Times New Roman"/>
          <w:i/>
          <w:iCs/>
          <w:color w:val="000000"/>
          <w:kern w:val="0"/>
          <w:szCs w:val="24"/>
          <w:lang w:eastAsia="es-ES_tradnl"/>
          <w14:ligatures w14:val="none"/>
        </w:rPr>
        <w:t xml:space="preserve">En el caso a quo, la Ley de Timbre Fiscal del Estado Bolívar, publicada en G.O. Ordinaria del Estado Bolívar N° 2408 de fecha 22 de </w:t>
      </w:r>
      <w:proofErr w:type="gramStart"/>
      <w:r w:rsidRPr="00C3762A">
        <w:rPr>
          <w:rFonts w:eastAsia="Times New Roman" w:cs="Times New Roman"/>
          <w:i/>
          <w:iCs/>
          <w:color w:val="000000"/>
          <w:kern w:val="0"/>
          <w:szCs w:val="24"/>
          <w:lang w:eastAsia="es-ES_tradnl"/>
          <w14:ligatures w14:val="none"/>
        </w:rPr>
        <w:t>Octubre</w:t>
      </w:r>
      <w:proofErr w:type="gramEnd"/>
      <w:r w:rsidRPr="00C3762A">
        <w:rPr>
          <w:rFonts w:eastAsia="Times New Roman" w:cs="Times New Roman"/>
          <w:i/>
          <w:iCs/>
          <w:color w:val="000000"/>
          <w:kern w:val="0"/>
          <w:szCs w:val="24"/>
          <w:lang w:eastAsia="es-ES_tradnl"/>
          <w14:ligatures w14:val="none"/>
        </w:rPr>
        <w:t xml:space="preserve"> </w:t>
      </w:r>
      <w:r w:rsidRPr="00C3762A">
        <w:rPr>
          <w:rFonts w:eastAsia="Times New Roman" w:cs="Times New Roman"/>
          <w:i/>
          <w:iCs/>
          <w:color w:val="000000"/>
          <w:kern w:val="0"/>
          <w:szCs w:val="24"/>
          <w:lang w:eastAsia="es-ES_tradnl"/>
          <w14:ligatures w14:val="none"/>
        </w:rPr>
        <w:lastRenderedPageBreak/>
        <w:t>de 2018, establece dentro de los hechos generadores de la obligación tributaria, en el numeral 2 del artículo 40 lo siguiente:</w:t>
      </w:r>
    </w:p>
    <w:p w14:paraId="12A416A2" w14:textId="77777777" w:rsidR="00C3762A" w:rsidRPr="00C3762A" w:rsidRDefault="00C3762A" w:rsidP="00C3762A">
      <w:pPr>
        <w:ind w:left="1134" w:right="907" w:firstLine="0"/>
        <w:jc w:val="both"/>
        <w:rPr>
          <w:rFonts w:eastAsia="Times New Roman" w:cs="Times New Roman"/>
          <w:color w:val="000000"/>
          <w:kern w:val="0"/>
          <w:sz w:val="28"/>
          <w:szCs w:val="28"/>
          <w:lang w:val="es-VE" w:eastAsia="es-ES_tradnl"/>
          <w14:ligatures w14:val="none"/>
        </w:rPr>
      </w:pPr>
      <w:r w:rsidRPr="00C3762A">
        <w:rPr>
          <w:rFonts w:eastAsia="Times New Roman" w:cs="Times New Roman"/>
          <w:i/>
          <w:iCs/>
          <w:color w:val="000000"/>
          <w:kern w:val="0"/>
          <w:szCs w:val="24"/>
          <w:lang w:eastAsia="es-ES_tradnl"/>
          <w14:ligatures w14:val="none"/>
        </w:rPr>
        <w:t>‘Artículo 40. Por los actos o documentos realizados en el territorio del Estado Bolívar, que se enumeran a continuación se pagarán las siguientes tasas, a través del uso de estampillas y papel sellado del Estado Bolívar.</w:t>
      </w:r>
    </w:p>
    <w:p w14:paraId="3C050331" w14:textId="77777777" w:rsidR="00C3762A" w:rsidRPr="00C3762A" w:rsidRDefault="00C3762A" w:rsidP="00C3762A">
      <w:pPr>
        <w:ind w:left="1134" w:right="907" w:firstLine="0"/>
        <w:jc w:val="both"/>
        <w:rPr>
          <w:rFonts w:eastAsia="Times New Roman" w:cs="Times New Roman"/>
          <w:color w:val="000000"/>
          <w:kern w:val="0"/>
          <w:sz w:val="28"/>
          <w:szCs w:val="28"/>
          <w:lang w:val="es-VE" w:eastAsia="es-ES_tradnl"/>
          <w14:ligatures w14:val="none"/>
        </w:rPr>
      </w:pPr>
      <w:r w:rsidRPr="00C3762A">
        <w:rPr>
          <w:rFonts w:eastAsia="Times New Roman" w:cs="Times New Roman"/>
          <w:i/>
          <w:iCs/>
          <w:color w:val="000000"/>
          <w:kern w:val="0"/>
          <w:szCs w:val="24"/>
          <w:lang w:eastAsia="es-ES_tradnl"/>
          <w14:ligatures w14:val="none"/>
        </w:rPr>
        <w:t>1. Otorgamiento de autorización de empresas productoras de alcohol y especies alcohólicas o ampliación de las ya instaladas...</w:t>
      </w:r>
    </w:p>
    <w:p w14:paraId="27584D70" w14:textId="77777777" w:rsidR="00C3762A" w:rsidRPr="00C3762A" w:rsidRDefault="00C3762A" w:rsidP="00C3762A">
      <w:pPr>
        <w:ind w:left="1134" w:right="907" w:firstLine="0"/>
        <w:jc w:val="both"/>
        <w:rPr>
          <w:rFonts w:eastAsia="Times New Roman" w:cs="Times New Roman"/>
          <w:color w:val="000000"/>
          <w:kern w:val="0"/>
          <w:sz w:val="28"/>
          <w:szCs w:val="28"/>
          <w:lang w:val="es-VE" w:eastAsia="es-ES_tradnl"/>
          <w14:ligatures w14:val="none"/>
        </w:rPr>
      </w:pPr>
      <w:r w:rsidRPr="00C3762A">
        <w:rPr>
          <w:rFonts w:eastAsia="Times New Roman" w:cs="Times New Roman"/>
          <w:i/>
          <w:iCs/>
          <w:color w:val="000000"/>
          <w:kern w:val="0"/>
          <w:szCs w:val="24"/>
          <w:lang w:eastAsia="es-ES_tradnl"/>
          <w14:ligatures w14:val="none"/>
        </w:rPr>
        <w:t xml:space="preserve">2. Otorgamiento de autorización para la instalación de expendio de bebidas alcohólicas, transformación, traspasos y traslados de </w:t>
      </w:r>
      <w:proofErr w:type="gramStart"/>
      <w:r w:rsidRPr="00C3762A">
        <w:rPr>
          <w:rFonts w:eastAsia="Times New Roman" w:cs="Times New Roman"/>
          <w:i/>
          <w:iCs/>
          <w:color w:val="000000"/>
          <w:kern w:val="0"/>
          <w:szCs w:val="24"/>
          <w:lang w:eastAsia="es-ES_tradnl"/>
          <w14:ligatures w14:val="none"/>
        </w:rPr>
        <w:t>los mismos</w:t>
      </w:r>
      <w:proofErr w:type="gramEnd"/>
      <w:r w:rsidRPr="00C3762A">
        <w:rPr>
          <w:rFonts w:eastAsia="Times New Roman" w:cs="Times New Roman"/>
          <w:i/>
          <w:iCs/>
          <w:color w:val="000000"/>
          <w:kern w:val="0"/>
          <w:szCs w:val="24"/>
          <w:lang w:eastAsia="es-ES_tradnl"/>
          <w14:ligatures w14:val="none"/>
        </w:rPr>
        <w:t xml:space="preserve"> en zonas suburbanas: Trescientas Unidades Tributarias (300 U.T) y en zonas suburbanas: Ciento Cincuenta Unidades Tributarias (150 U.T). Las autorizaciones previstas en este numeral deberán renovarse anualmente, lo cual causara una tasa igual al cincuenta por viento (50%) de la alícuota establecida’.</w:t>
      </w:r>
    </w:p>
    <w:p w14:paraId="019F84FA" w14:textId="77777777" w:rsidR="00C3762A" w:rsidRPr="00C3762A" w:rsidRDefault="00C3762A" w:rsidP="00C3762A">
      <w:pPr>
        <w:ind w:left="1134" w:right="907" w:firstLine="0"/>
        <w:jc w:val="center"/>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eastAsia="es-ES_tradnl"/>
          <w14:ligatures w14:val="none"/>
        </w:rPr>
        <w:t>(…</w:t>
      </w:r>
      <w:proofErr w:type="spellStart"/>
      <w:r w:rsidRPr="00C3762A">
        <w:rPr>
          <w:rFonts w:eastAsia="Times New Roman" w:cs="Times New Roman"/>
          <w:color w:val="000000"/>
          <w:kern w:val="0"/>
          <w:szCs w:val="24"/>
          <w:lang w:eastAsia="es-ES_tradnl"/>
          <w14:ligatures w14:val="none"/>
        </w:rPr>
        <w:t>Omissis</w:t>
      </w:r>
      <w:proofErr w:type="spellEnd"/>
      <w:r w:rsidRPr="00C3762A">
        <w:rPr>
          <w:rFonts w:eastAsia="Times New Roman" w:cs="Times New Roman"/>
          <w:color w:val="000000"/>
          <w:kern w:val="0"/>
          <w:szCs w:val="24"/>
          <w:lang w:eastAsia="es-ES_tradnl"/>
          <w14:ligatures w14:val="none"/>
        </w:rPr>
        <w:t>…)</w:t>
      </w:r>
    </w:p>
    <w:p w14:paraId="5FBD22A4" w14:textId="77777777" w:rsidR="00C3762A" w:rsidRPr="00C3762A" w:rsidRDefault="00C3762A" w:rsidP="00C3762A">
      <w:pPr>
        <w:ind w:left="1134" w:right="907" w:firstLine="0"/>
        <w:jc w:val="both"/>
        <w:rPr>
          <w:rFonts w:eastAsia="Times New Roman" w:cs="Times New Roman"/>
          <w:color w:val="000000"/>
          <w:kern w:val="0"/>
          <w:sz w:val="28"/>
          <w:szCs w:val="28"/>
          <w:lang w:val="es-VE" w:eastAsia="es-ES_tradnl"/>
          <w14:ligatures w14:val="none"/>
        </w:rPr>
      </w:pPr>
      <w:r w:rsidRPr="00C3762A">
        <w:rPr>
          <w:rFonts w:eastAsia="Times New Roman" w:cs="Times New Roman"/>
          <w:i/>
          <w:iCs/>
          <w:color w:val="000000"/>
          <w:kern w:val="0"/>
          <w:szCs w:val="24"/>
          <w:lang w:eastAsia="es-ES_tradnl"/>
          <w14:ligatures w14:val="none"/>
        </w:rPr>
        <w:t xml:space="preserve">Ya establecida la obligación y la consecuencia jurídica por el incumplimiento de la misma, de seguidas es pertinente evaluar si el procedimiento sancionatorio está ajustado a derecho; ambas partes coinciden en el hecho, de </w:t>
      </w:r>
      <w:proofErr w:type="gramStart"/>
      <w:r w:rsidRPr="00C3762A">
        <w:rPr>
          <w:rFonts w:eastAsia="Times New Roman" w:cs="Times New Roman"/>
          <w:i/>
          <w:iCs/>
          <w:color w:val="000000"/>
          <w:kern w:val="0"/>
          <w:szCs w:val="24"/>
          <w:lang w:eastAsia="es-ES_tradnl"/>
          <w14:ligatures w14:val="none"/>
        </w:rPr>
        <w:t>que</w:t>
      </w:r>
      <w:proofErr w:type="gramEnd"/>
      <w:r w:rsidRPr="00C3762A">
        <w:rPr>
          <w:rFonts w:eastAsia="Times New Roman" w:cs="Times New Roman"/>
          <w:i/>
          <w:iCs/>
          <w:color w:val="000000"/>
          <w:kern w:val="0"/>
          <w:szCs w:val="24"/>
          <w:lang w:eastAsia="es-ES_tradnl"/>
          <w14:ligatures w14:val="none"/>
        </w:rPr>
        <w:t xml:space="preserve"> dentro del procedimiento de verificación, sanción y ajuste de la multa, el mismo estuvo fundamentado en: La Ley de Timbre Fiscal del Estado Bolívar del 2018, el Código Orgánico Tributario de 2014. el Decreto Constituyente que dicta el Código Orgánico Tributario de 2020 y la Ley de Timbre Fiscal del Estado Bolívar de 2022. </w:t>
      </w:r>
    </w:p>
    <w:p w14:paraId="75E6D3C7" w14:textId="77777777" w:rsidR="00C3762A" w:rsidRPr="00C3762A" w:rsidRDefault="00C3762A" w:rsidP="00C3762A">
      <w:pPr>
        <w:ind w:left="1134" w:right="907" w:firstLine="0"/>
        <w:jc w:val="both"/>
        <w:rPr>
          <w:rFonts w:eastAsia="Times New Roman" w:cs="Times New Roman"/>
          <w:color w:val="000000"/>
          <w:kern w:val="0"/>
          <w:sz w:val="28"/>
          <w:szCs w:val="28"/>
          <w:lang w:val="es-VE" w:eastAsia="es-ES_tradnl"/>
          <w14:ligatures w14:val="none"/>
        </w:rPr>
      </w:pPr>
      <w:r w:rsidRPr="00C3762A">
        <w:rPr>
          <w:rFonts w:eastAsia="Times New Roman" w:cs="Times New Roman"/>
          <w:i/>
          <w:iCs/>
          <w:color w:val="000000"/>
          <w:kern w:val="0"/>
          <w:szCs w:val="24"/>
          <w:lang w:eastAsia="es-ES_tradnl"/>
          <w14:ligatures w14:val="none"/>
        </w:rPr>
        <w:t xml:space="preserve">No obstante, en ejercicio del principio de Tutela Judicial Efectiva, considera este </w:t>
      </w:r>
      <w:proofErr w:type="spellStart"/>
      <w:r w:rsidRPr="00C3762A">
        <w:rPr>
          <w:rFonts w:eastAsia="Times New Roman" w:cs="Times New Roman"/>
          <w:i/>
          <w:iCs/>
          <w:color w:val="000000"/>
          <w:kern w:val="0"/>
          <w:szCs w:val="24"/>
          <w:lang w:eastAsia="es-ES_tradnl"/>
          <w14:ligatures w14:val="none"/>
        </w:rPr>
        <w:t>Jurisdiscente</w:t>
      </w:r>
      <w:proofErr w:type="spellEnd"/>
      <w:r w:rsidRPr="00C3762A">
        <w:rPr>
          <w:rFonts w:eastAsia="Times New Roman" w:cs="Times New Roman"/>
          <w:i/>
          <w:iCs/>
          <w:color w:val="000000"/>
          <w:kern w:val="0"/>
          <w:szCs w:val="24"/>
          <w:lang w:eastAsia="es-ES_tradnl"/>
          <w14:ligatures w14:val="none"/>
        </w:rPr>
        <w:t xml:space="preserve">, es pertinente determinar el carácter del ilícito tributario determinado por la Administración Tributaria Estadal en su procedimiento de Verificación, y de acuerdo con el Estado Bolívar de 2018; la naturaleza </w:t>
      </w:r>
      <w:proofErr w:type="gramStart"/>
      <w:r w:rsidRPr="00C3762A">
        <w:rPr>
          <w:rFonts w:eastAsia="Times New Roman" w:cs="Times New Roman"/>
          <w:i/>
          <w:iCs/>
          <w:color w:val="000000"/>
          <w:kern w:val="0"/>
          <w:szCs w:val="24"/>
          <w:lang w:eastAsia="es-ES_tradnl"/>
          <w14:ligatures w14:val="none"/>
        </w:rPr>
        <w:t>del mismo</w:t>
      </w:r>
      <w:proofErr w:type="gramEnd"/>
      <w:r w:rsidRPr="00C3762A">
        <w:rPr>
          <w:rFonts w:eastAsia="Times New Roman" w:cs="Times New Roman"/>
          <w:i/>
          <w:iCs/>
          <w:color w:val="000000"/>
          <w:kern w:val="0"/>
          <w:szCs w:val="24"/>
          <w:lang w:eastAsia="es-ES_tradnl"/>
          <w14:ligatures w14:val="none"/>
        </w:rPr>
        <w:t xml:space="preserve"> encuadra dentro del supuesto establecido en el numeral 1 del artículo 109 del Decreto Constituyente que dicta el Código Orgánico Tributario de 2020.</w:t>
      </w:r>
    </w:p>
    <w:p w14:paraId="33577BAB" w14:textId="77777777" w:rsidR="00C3762A" w:rsidRPr="00C3762A" w:rsidRDefault="00C3762A" w:rsidP="00C3762A">
      <w:pPr>
        <w:ind w:left="1134" w:right="907" w:firstLine="0"/>
        <w:jc w:val="center"/>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eastAsia="es-ES_tradnl"/>
          <w14:ligatures w14:val="none"/>
        </w:rPr>
        <w:t>(…</w:t>
      </w:r>
      <w:proofErr w:type="spellStart"/>
      <w:r w:rsidRPr="00C3762A">
        <w:rPr>
          <w:rFonts w:eastAsia="Times New Roman" w:cs="Times New Roman"/>
          <w:color w:val="000000"/>
          <w:kern w:val="0"/>
          <w:szCs w:val="24"/>
          <w:lang w:eastAsia="es-ES_tradnl"/>
          <w14:ligatures w14:val="none"/>
        </w:rPr>
        <w:t>Omissis</w:t>
      </w:r>
      <w:proofErr w:type="spellEnd"/>
      <w:r w:rsidRPr="00C3762A">
        <w:rPr>
          <w:rFonts w:eastAsia="Times New Roman" w:cs="Times New Roman"/>
          <w:color w:val="000000"/>
          <w:kern w:val="0"/>
          <w:szCs w:val="24"/>
          <w:lang w:eastAsia="es-ES_tradnl"/>
          <w14:ligatures w14:val="none"/>
        </w:rPr>
        <w:t>…)</w:t>
      </w:r>
    </w:p>
    <w:p w14:paraId="3E302B0F" w14:textId="77777777" w:rsidR="00C3762A" w:rsidRPr="00C3762A" w:rsidRDefault="00C3762A" w:rsidP="00C3762A">
      <w:pPr>
        <w:ind w:left="1134" w:right="907" w:firstLine="0"/>
        <w:jc w:val="both"/>
        <w:rPr>
          <w:rFonts w:eastAsia="Times New Roman" w:cs="Times New Roman"/>
          <w:color w:val="000000"/>
          <w:kern w:val="0"/>
          <w:sz w:val="28"/>
          <w:szCs w:val="28"/>
          <w:lang w:val="es-VE" w:eastAsia="es-ES_tradnl"/>
          <w14:ligatures w14:val="none"/>
        </w:rPr>
      </w:pPr>
      <w:r w:rsidRPr="00C3762A">
        <w:rPr>
          <w:rFonts w:eastAsia="Times New Roman" w:cs="Times New Roman"/>
          <w:i/>
          <w:iCs/>
          <w:color w:val="000000"/>
          <w:kern w:val="0"/>
          <w:szCs w:val="24"/>
          <w:lang w:eastAsia="es-ES_tradnl"/>
          <w14:ligatures w14:val="none"/>
        </w:rPr>
        <w:t>En el mismo orden de ideas, en el expediente administrativo consignado por la Administración Tributaria Estadal, y cuyo merito reproducen en su oportunidad procesal, se observan los pagos efectuados por la contribuyente por concepto de renovación:</w:t>
      </w:r>
    </w:p>
    <w:p w14:paraId="58F0B36B" w14:textId="77777777" w:rsidR="00C3762A" w:rsidRPr="00C3762A" w:rsidRDefault="00C3762A" w:rsidP="00C3762A">
      <w:pPr>
        <w:ind w:left="1134" w:right="907" w:firstLine="0"/>
        <w:jc w:val="both"/>
        <w:rPr>
          <w:rFonts w:eastAsia="Times New Roman" w:cs="Times New Roman"/>
          <w:color w:val="000000"/>
          <w:kern w:val="0"/>
          <w:sz w:val="28"/>
          <w:szCs w:val="28"/>
          <w:lang w:val="es-VE" w:eastAsia="es-ES_tradnl"/>
          <w14:ligatures w14:val="none"/>
        </w:rPr>
      </w:pPr>
      <w:r w:rsidRPr="00C3762A">
        <w:rPr>
          <w:rFonts w:eastAsia="Times New Roman" w:cs="Times New Roman"/>
          <w:i/>
          <w:iCs/>
          <w:color w:val="000000"/>
          <w:kern w:val="0"/>
          <w:szCs w:val="24"/>
          <w:lang w:eastAsia="es-ES_tradnl"/>
          <w14:ligatures w14:val="none"/>
        </w:rPr>
        <w:t>* Renovación MY-149 2019 Ref. 075433775365 fecha 27/05/2019 (v. folios 68).</w:t>
      </w:r>
    </w:p>
    <w:p w14:paraId="251FE8F6" w14:textId="77777777" w:rsidR="00C3762A" w:rsidRPr="00C3762A" w:rsidRDefault="00C3762A" w:rsidP="00C3762A">
      <w:pPr>
        <w:ind w:left="1134" w:right="907" w:firstLine="0"/>
        <w:jc w:val="both"/>
        <w:rPr>
          <w:rFonts w:eastAsia="Times New Roman" w:cs="Times New Roman"/>
          <w:color w:val="000000"/>
          <w:kern w:val="0"/>
          <w:sz w:val="28"/>
          <w:szCs w:val="28"/>
          <w:lang w:val="es-VE" w:eastAsia="es-ES_tradnl"/>
          <w14:ligatures w14:val="none"/>
        </w:rPr>
      </w:pPr>
      <w:r w:rsidRPr="00C3762A">
        <w:rPr>
          <w:rFonts w:eastAsia="Times New Roman" w:cs="Times New Roman"/>
          <w:i/>
          <w:iCs/>
          <w:color w:val="000000"/>
          <w:kern w:val="0"/>
          <w:szCs w:val="24"/>
          <w:lang w:eastAsia="es-ES_tradnl"/>
          <w14:ligatures w14:val="none"/>
        </w:rPr>
        <w:t>* Renovación Mn-323 2019 Ref. 075433726361 fecha 27/05/2019 (v. folios 69).</w:t>
      </w:r>
    </w:p>
    <w:p w14:paraId="5438FE15" w14:textId="77777777" w:rsidR="00C3762A" w:rsidRPr="00C3762A" w:rsidRDefault="00C3762A" w:rsidP="00C3762A">
      <w:pPr>
        <w:ind w:left="1134" w:right="907" w:firstLine="0"/>
        <w:jc w:val="both"/>
        <w:rPr>
          <w:rFonts w:eastAsia="Times New Roman" w:cs="Times New Roman"/>
          <w:color w:val="000000"/>
          <w:kern w:val="0"/>
          <w:sz w:val="28"/>
          <w:szCs w:val="28"/>
          <w:lang w:val="es-VE" w:eastAsia="es-ES_tradnl"/>
          <w14:ligatures w14:val="none"/>
        </w:rPr>
      </w:pPr>
      <w:r w:rsidRPr="00C3762A">
        <w:rPr>
          <w:rFonts w:eastAsia="Times New Roman" w:cs="Times New Roman"/>
          <w:i/>
          <w:iCs/>
          <w:color w:val="000000"/>
          <w:kern w:val="0"/>
          <w:szCs w:val="24"/>
          <w:lang w:eastAsia="es-ES_tradnl"/>
          <w14:ligatures w14:val="none"/>
        </w:rPr>
        <w:lastRenderedPageBreak/>
        <w:t>* Renovación Mn-323 2020 Ref. 067828411014 fecha 25/02/2022 (v. folios 70-71).</w:t>
      </w:r>
    </w:p>
    <w:p w14:paraId="297847DE" w14:textId="77777777" w:rsidR="00C3762A" w:rsidRPr="00C3762A" w:rsidRDefault="00C3762A" w:rsidP="00C3762A">
      <w:pPr>
        <w:ind w:left="1134" w:right="907" w:firstLine="0"/>
        <w:jc w:val="both"/>
        <w:rPr>
          <w:rFonts w:eastAsia="Times New Roman" w:cs="Times New Roman"/>
          <w:color w:val="000000"/>
          <w:kern w:val="0"/>
          <w:sz w:val="28"/>
          <w:szCs w:val="28"/>
          <w:lang w:val="es-VE" w:eastAsia="es-ES_tradnl"/>
          <w14:ligatures w14:val="none"/>
        </w:rPr>
      </w:pPr>
      <w:r w:rsidRPr="00C3762A">
        <w:rPr>
          <w:rFonts w:eastAsia="Times New Roman" w:cs="Times New Roman"/>
          <w:i/>
          <w:iCs/>
          <w:color w:val="000000"/>
          <w:kern w:val="0"/>
          <w:szCs w:val="24"/>
          <w:lang w:eastAsia="es-ES_tradnl"/>
          <w14:ligatures w14:val="none"/>
        </w:rPr>
        <w:t>* Renovación MY-149 2020 Ref. 067828455286 fecha 25/02/2022 (v. folios 72-73).</w:t>
      </w:r>
    </w:p>
    <w:p w14:paraId="0669DA22" w14:textId="77777777" w:rsidR="00C3762A" w:rsidRPr="00C3762A" w:rsidRDefault="00C3762A" w:rsidP="00C3762A">
      <w:pPr>
        <w:ind w:left="1134" w:right="907" w:firstLine="0"/>
        <w:jc w:val="both"/>
        <w:rPr>
          <w:rFonts w:eastAsia="Times New Roman" w:cs="Times New Roman"/>
          <w:color w:val="000000"/>
          <w:kern w:val="0"/>
          <w:sz w:val="28"/>
          <w:szCs w:val="28"/>
          <w:lang w:val="es-VE" w:eastAsia="es-ES_tradnl"/>
          <w14:ligatures w14:val="none"/>
        </w:rPr>
      </w:pPr>
      <w:r w:rsidRPr="00C3762A">
        <w:rPr>
          <w:rFonts w:eastAsia="Times New Roman" w:cs="Times New Roman"/>
          <w:i/>
          <w:iCs/>
          <w:color w:val="000000"/>
          <w:kern w:val="0"/>
          <w:szCs w:val="24"/>
          <w:lang w:eastAsia="es-ES_tradnl"/>
          <w14:ligatures w14:val="none"/>
        </w:rPr>
        <w:t>* Renovación MY-149 2021 Ref. 067828515615 fecha 25/02/2022 (v. folios 74-75).</w:t>
      </w:r>
    </w:p>
    <w:p w14:paraId="25E1EC99" w14:textId="77777777" w:rsidR="00C3762A" w:rsidRPr="00C3762A" w:rsidRDefault="00C3762A" w:rsidP="00C3762A">
      <w:pPr>
        <w:ind w:left="1134" w:right="907" w:firstLine="0"/>
        <w:jc w:val="both"/>
        <w:rPr>
          <w:rFonts w:eastAsia="Times New Roman" w:cs="Times New Roman"/>
          <w:color w:val="000000"/>
          <w:kern w:val="0"/>
          <w:sz w:val="28"/>
          <w:szCs w:val="28"/>
          <w:lang w:val="es-VE" w:eastAsia="es-ES_tradnl"/>
          <w14:ligatures w14:val="none"/>
        </w:rPr>
      </w:pPr>
      <w:r w:rsidRPr="00C3762A">
        <w:rPr>
          <w:rFonts w:eastAsia="Times New Roman" w:cs="Times New Roman"/>
          <w:i/>
          <w:iCs/>
          <w:color w:val="000000"/>
          <w:kern w:val="0"/>
          <w:szCs w:val="24"/>
          <w:lang w:eastAsia="es-ES_tradnl"/>
          <w14:ligatures w14:val="none"/>
        </w:rPr>
        <w:t>* Renovación Mn-323 2021 Ref. 067828491295 fecha 25/02/2022 (v. folios 76-77).</w:t>
      </w:r>
    </w:p>
    <w:p w14:paraId="673E5D6E" w14:textId="77777777" w:rsidR="00C3762A" w:rsidRPr="00C3762A" w:rsidRDefault="00C3762A" w:rsidP="00C3762A">
      <w:pPr>
        <w:ind w:left="1134" w:right="907" w:firstLine="0"/>
        <w:jc w:val="both"/>
        <w:rPr>
          <w:rFonts w:eastAsia="Times New Roman" w:cs="Times New Roman"/>
          <w:color w:val="000000"/>
          <w:kern w:val="0"/>
          <w:sz w:val="28"/>
          <w:szCs w:val="28"/>
          <w:lang w:val="es-VE" w:eastAsia="es-ES_tradnl"/>
          <w14:ligatures w14:val="none"/>
        </w:rPr>
      </w:pPr>
      <w:r w:rsidRPr="00C3762A">
        <w:rPr>
          <w:rFonts w:eastAsia="Times New Roman" w:cs="Times New Roman"/>
          <w:i/>
          <w:iCs/>
          <w:color w:val="000000"/>
          <w:kern w:val="0"/>
          <w:szCs w:val="24"/>
          <w:lang w:eastAsia="es-ES_tradnl"/>
          <w14:ligatures w14:val="none"/>
        </w:rPr>
        <w:t xml:space="preserve">De acuerdo con la normativa que regula la materia contenida en la Ordenanza sobre Funcionamiento de Expendio y Distribución de Bebidas Alcohólica y de Índole similar, y en el Capítulo VI De la Renovación de la Licencia para el Expendio de Bebidas Alcohólicas, los artículos 21° y 22°, las Licencias para el expendio de Bebidas Alcohólicas vencen el 31 de </w:t>
      </w:r>
      <w:proofErr w:type="gramStart"/>
      <w:r w:rsidRPr="00C3762A">
        <w:rPr>
          <w:rFonts w:eastAsia="Times New Roman" w:cs="Times New Roman"/>
          <w:i/>
          <w:iCs/>
          <w:color w:val="000000"/>
          <w:kern w:val="0"/>
          <w:szCs w:val="24"/>
          <w:lang w:eastAsia="es-ES_tradnl"/>
          <w14:ligatures w14:val="none"/>
        </w:rPr>
        <w:t>Diciembre</w:t>
      </w:r>
      <w:proofErr w:type="gramEnd"/>
      <w:r w:rsidRPr="00C3762A">
        <w:rPr>
          <w:rFonts w:eastAsia="Times New Roman" w:cs="Times New Roman"/>
          <w:i/>
          <w:iCs/>
          <w:color w:val="000000"/>
          <w:kern w:val="0"/>
          <w:szCs w:val="24"/>
          <w:lang w:eastAsia="es-ES_tradnl"/>
          <w14:ligatures w14:val="none"/>
        </w:rPr>
        <w:t xml:space="preserve"> de cada año y deben renovarse dentro de los 20 días que anteceden a su vencimiento. En aplicación analógica a la normativa contenida en la Ley de Timbre Fiscal del Estado Bolívar de 2018, dentro de ese mismo lapso debe ser cancelado el timbre fiscal a favor de la Administración Tributaria Estadal. </w:t>
      </w:r>
    </w:p>
    <w:p w14:paraId="5E933979" w14:textId="77777777" w:rsidR="00C3762A" w:rsidRPr="00C3762A" w:rsidRDefault="00C3762A" w:rsidP="00C3762A">
      <w:pPr>
        <w:ind w:left="1134" w:right="907" w:firstLine="0"/>
        <w:jc w:val="both"/>
        <w:rPr>
          <w:rFonts w:eastAsia="Times New Roman" w:cs="Times New Roman"/>
          <w:color w:val="000000"/>
          <w:kern w:val="0"/>
          <w:sz w:val="28"/>
          <w:szCs w:val="28"/>
          <w:lang w:val="es-VE" w:eastAsia="es-ES_tradnl"/>
          <w14:ligatures w14:val="none"/>
        </w:rPr>
      </w:pPr>
      <w:r w:rsidRPr="00C3762A">
        <w:rPr>
          <w:rFonts w:eastAsia="Times New Roman" w:cs="Times New Roman"/>
          <w:i/>
          <w:iCs/>
          <w:color w:val="000000"/>
          <w:kern w:val="0"/>
          <w:szCs w:val="24"/>
          <w:lang w:eastAsia="es-ES_tradnl"/>
          <w14:ligatures w14:val="none"/>
        </w:rPr>
        <w:t xml:space="preserve">Esta prestación de </w:t>
      </w:r>
      <w:proofErr w:type="gramStart"/>
      <w:r w:rsidRPr="00C3762A">
        <w:rPr>
          <w:rFonts w:eastAsia="Times New Roman" w:cs="Times New Roman"/>
          <w:i/>
          <w:iCs/>
          <w:color w:val="000000"/>
          <w:kern w:val="0"/>
          <w:szCs w:val="24"/>
          <w:lang w:eastAsia="es-ES_tradnl"/>
          <w14:ligatures w14:val="none"/>
        </w:rPr>
        <w:t>dar,</w:t>
      </w:r>
      <w:proofErr w:type="gramEnd"/>
      <w:r w:rsidRPr="00C3762A">
        <w:rPr>
          <w:rFonts w:eastAsia="Times New Roman" w:cs="Times New Roman"/>
          <w:i/>
          <w:iCs/>
          <w:color w:val="000000"/>
          <w:kern w:val="0"/>
          <w:szCs w:val="24"/>
          <w:lang w:eastAsia="es-ES_tradnl"/>
          <w14:ligatures w14:val="none"/>
        </w:rPr>
        <w:t xml:space="preserve"> constituye un deber material. por cuanto está relacionado con el pago de un tributo vía Timbre Fiscal, y por mandato de la Constitución de la República Bolivariana de Venezuela, retomando esa facultad otorgada al estado en la Constitución Nacional de 1947. Ahora bien, a los efectos de determinar el nacimiento de la obligación tributaria, de acuerdo con lo establecido en la norma y los elementos que rielan en autos; es menester definir los términos, instalación y renovación. Cuando un determinado contribuyente solicita la Autorización para el expendio de Bebidas Alcohólicas. la concesión por primera vez se denomina Instalación: pero cuando el contribuyente ya ha estado ejerciendo la actividad bajo el previo otorgamiento de la Autorización, y en atención a la norma sustantiva, requiere la extensión de </w:t>
      </w:r>
      <w:proofErr w:type="gramStart"/>
      <w:r w:rsidRPr="00C3762A">
        <w:rPr>
          <w:rFonts w:eastAsia="Times New Roman" w:cs="Times New Roman"/>
          <w:i/>
          <w:iCs/>
          <w:color w:val="000000"/>
          <w:kern w:val="0"/>
          <w:szCs w:val="24"/>
          <w:lang w:eastAsia="es-ES_tradnl"/>
          <w14:ligatures w14:val="none"/>
        </w:rPr>
        <w:t>la misma</w:t>
      </w:r>
      <w:proofErr w:type="gramEnd"/>
      <w:r w:rsidRPr="00C3762A">
        <w:rPr>
          <w:rFonts w:eastAsia="Times New Roman" w:cs="Times New Roman"/>
          <w:i/>
          <w:iCs/>
          <w:color w:val="000000"/>
          <w:kern w:val="0"/>
          <w:szCs w:val="24"/>
          <w:lang w:eastAsia="es-ES_tradnl"/>
          <w14:ligatures w14:val="none"/>
        </w:rPr>
        <w:t>, opera la Renovación. </w:t>
      </w:r>
      <w:r w:rsidRPr="00C3762A">
        <w:rPr>
          <w:rFonts w:eastAsia="Times New Roman" w:cs="Times New Roman"/>
          <w:b/>
          <w:bCs/>
          <w:i/>
          <w:iCs/>
          <w:color w:val="000000"/>
          <w:kern w:val="0"/>
          <w:szCs w:val="24"/>
          <w:lang w:eastAsia="es-ES_tradnl"/>
          <w14:ligatures w14:val="none"/>
        </w:rPr>
        <w:t>Así se establece</w:t>
      </w:r>
      <w:r w:rsidRPr="00C3762A">
        <w:rPr>
          <w:rFonts w:eastAsia="Times New Roman" w:cs="Times New Roman"/>
          <w:i/>
          <w:iCs/>
          <w:color w:val="000000"/>
          <w:kern w:val="0"/>
          <w:szCs w:val="24"/>
          <w:lang w:eastAsia="es-ES_tradnl"/>
          <w14:ligatures w14:val="none"/>
        </w:rPr>
        <w:t>. </w:t>
      </w:r>
    </w:p>
    <w:p w14:paraId="5110C21B" w14:textId="77777777" w:rsidR="00C3762A" w:rsidRPr="00C3762A" w:rsidRDefault="00C3762A" w:rsidP="00C3762A">
      <w:pPr>
        <w:ind w:left="1134" w:right="907" w:firstLine="0"/>
        <w:jc w:val="both"/>
        <w:rPr>
          <w:rFonts w:eastAsia="Times New Roman" w:cs="Times New Roman"/>
          <w:color w:val="000000"/>
          <w:kern w:val="0"/>
          <w:sz w:val="28"/>
          <w:szCs w:val="28"/>
          <w:lang w:val="es-VE" w:eastAsia="es-ES_tradnl"/>
          <w14:ligatures w14:val="none"/>
        </w:rPr>
      </w:pPr>
      <w:r w:rsidRPr="00C3762A">
        <w:rPr>
          <w:rFonts w:eastAsia="Times New Roman" w:cs="Times New Roman"/>
          <w:i/>
          <w:iCs/>
          <w:color w:val="000000"/>
          <w:kern w:val="0"/>
          <w:szCs w:val="24"/>
          <w:lang w:eastAsia="es-ES_tradnl"/>
          <w14:ligatures w14:val="none"/>
        </w:rPr>
        <w:t xml:space="preserve">En el mismo orden de ideas, de acuerdo con lo que establece la Ordenanza, las denominadas Licencias para el expendio de licores tienen una fecha de vencimiento los 31 de </w:t>
      </w:r>
      <w:proofErr w:type="gramStart"/>
      <w:r w:rsidRPr="00C3762A">
        <w:rPr>
          <w:rFonts w:eastAsia="Times New Roman" w:cs="Times New Roman"/>
          <w:i/>
          <w:iCs/>
          <w:color w:val="000000"/>
          <w:kern w:val="0"/>
          <w:szCs w:val="24"/>
          <w:lang w:eastAsia="es-ES_tradnl"/>
          <w14:ligatures w14:val="none"/>
        </w:rPr>
        <w:t>Diciembre</w:t>
      </w:r>
      <w:proofErr w:type="gramEnd"/>
      <w:r w:rsidRPr="00C3762A">
        <w:rPr>
          <w:rFonts w:eastAsia="Times New Roman" w:cs="Times New Roman"/>
          <w:i/>
          <w:iCs/>
          <w:color w:val="000000"/>
          <w:kern w:val="0"/>
          <w:szCs w:val="24"/>
          <w:lang w:eastAsia="es-ES_tradnl"/>
          <w14:ligatures w14:val="none"/>
        </w:rPr>
        <w:t xml:space="preserve"> de cada año, y para continuar el ejercicio de esta actividad debe solicitar ante las autoridades competentes la Renovación del Registro y Autorización, cuyo efecto es el permiso para la explotación de la misma por el siguiente ejercicio. En este sentido, tenemos que cuando la Administración Tributaria Estadal determina que no se efectuó el pago del Timbre Fiscal correspondiente a los ejercicios 2019, 2020 y 2021; y el cumplimiento de las obligaciones han debido efectuarse del 11-12-2018 al 31-12-2018 (para ejercer la actividad en el año 2019) del 11-12-2019 al 31-12-2019 (para ejercer la actividad en el año 2020) y del </w:t>
      </w:r>
      <w:r w:rsidRPr="00C3762A">
        <w:rPr>
          <w:rFonts w:eastAsia="Times New Roman" w:cs="Times New Roman"/>
          <w:i/>
          <w:iCs/>
          <w:color w:val="000000"/>
          <w:kern w:val="0"/>
          <w:szCs w:val="24"/>
          <w:lang w:eastAsia="es-ES_tradnl"/>
          <w14:ligatures w14:val="none"/>
        </w:rPr>
        <w:lastRenderedPageBreak/>
        <w:t>11-12-2020 al 31-12-2020 (para ejercer la actividad en el año 2021) y así sucesivamente. </w:t>
      </w:r>
    </w:p>
    <w:p w14:paraId="0AF355E9" w14:textId="77777777" w:rsidR="00C3762A" w:rsidRPr="00C3762A" w:rsidRDefault="00C3762A" w:rsidP="00C3762A">
      <w:pPr>
        <w:ind w:left="1134" w:right="907" w:firstLine="0"/>
        <w:jc w:val="both"/>
        <w:rPr>
          <w:rFonts w:eastAsia="Times New Roman" w:cs="Times New Roman"/>
          <w:color w:val="000000"/>
          <w:kern w:val="0"/>
          <w:sz w:val="28"/>
          <w:szCs w:val="28"/>
          <w:lang w:val="es-VE" w:eastAsia="es-ES_tradnl"/>
          <w14:ligatures w14:val="none"/>
        </w:rPr>
      </w:pPr>
      <w:r w:rsidRPr="00C3762A">
        <w:rPr>
          <w:rFonts w:eastAsia="Times New Roman" w:cs="Times New Roman"/>
          <w:i/>
          <w:iCs/>
          <w:color w:val="000000"/>
          <w:kern w:val="0"/>
          <w:szCs w:val="24"/>
          <w:lang w:eastAsia="es-ES_tradnl"/>
          <w14:ligatures w14:val="none"/>
        </w:rPr>
        <w:t xml:space="preserve">De acuerdo con las planillas que rielan en el expediente administrativo consignado por la representación de la Administración Tributaria Estadal, tomando en consideración que la fecha de la verificación fue el 22 de </w:t>
      </w:r>
      <w:proofErr w:type="gramStart"/>
      <w:r w:rsidRPr="00C3762A">
        <w:rPr>
          <w:rFonts w:eastAsia="Times New Roman" w:cs="Times New Roman"/>
          <w:i/>
          <w:iCs/>
          <w:color w:val="000000"/>
          <w:kern w:val="0"/>
          <w:szCs w:val="24"/>
          <w:lang w:eastAsia="es-ES_tradnl"/>
          <w14:ligatures w14:val="none"/>
        </w:rPr>
        <w:t>Febrero</w:t>
      </w:r>
      <w:proofErr w:type="gramEnd"/>
      <w:r w:rsidRPr="00C3762A">
        <w:rPr>
          <w:rFonts w:eastAsia="Times New Roman" w:cs="Times New Roman"/>
          <w:i/>
          <w:iCs/>
          <w:color w:val="000000"/>
          <w:kern w:val="0"/>
          <w:szCs w:val="24"/>
          <w:lang w:eastAsia="es-ES_tradnl"/>
          <w14:ligatures w14:val="none"/>
        </w:rPr>
        <w:t xml:space="preserve"> de 2022, se pudieron comprobar los dos (2) ilícitos tributarios, pero con diferentes calificativos:</w:t>
      </w:r>
    </w:p>
    <w:p w14:paraId="343385CA" w14:textId="77777777" w:rsidR="00C3762A" w:rsidRPr="00C3762A" w:rsidRDefault="00C3762A" w:rsidP="00C3762A">
      <w:pPr>
        <w:ind w:left="1134" w:right="907" w:firstLine="0"/>
        <w:jc w:val="both"/>
        <w:rPr>
          <w:rFonts w:eastAsia="Times New Roman" w:cs="Times New Roman"/>
          <w:color w:val="000000"/>
          <w:kern w:val="0"/>
          <w:sz w:val="28"/>
          <w:szCs w:val="28"/>
          <w:lang w:val="es-VE" w:eastAsia="es-ES_tradnl"/>
          <w14:ligatures w14:val="none"/>
        </w:rPr>
      </w:pPr>
      <w:r w:rsidRPr="00C3762A">
        <w:rPr>
          <w:rFonts w:eastAsia="Times New Roman" w:cs="Times New Roman"/>
          <w:i/>
          <w:iCs/>
          <w:color w:val="000000"/>
          <w:kern w:val="0"/>
          <w:szCs w:val="24"/>
          <w:lang w:eastAsia="es-ES_tradnl"/>
          <w14:ligatures w14:val="none"/>
        </w:rPr>
        <w:t>* Para el ejercicio 2019. el ilícito tributario está referido al pago extemporáneo del Timbre Fiscal, correspondiente a la Renovación de la Licencia de Licores para el expendio del mismo año. Ilícito tipificado en el numeral 4 del artículo 86 de la Ley de Timbre Fiscal del Estado Bolívar de 2018.</w:t>
      </w:r>
    </w:p>
    <w:p w14:paraId="37A06E6D" w14:textId="77777777" w:rsidR="00C3762A" w:rsidRPr="00C3762A" w:rsidRDefault="00C3762A" w:rsidP="00C3762A">
      <w:pPr>
        <w:ind w:left="1134" w:right="907" w:firstLine="0"/>
        <w:jc w:val="both"/>
        <w:rPr>
          <w:rFonts w:eastAsia="Times New Roman" w:cs="Times New Roman"/>
          <w:color w:val="000000"/>
          <w:kern w:val="0"/>
          <w:sz w:val="28"/>
          <w:szCs w:val="28"/>
          <w:lang w:val="es-VE" w:eastAsia="es-ES_tradnl"/>
          <w14:ligatures w14:val="none"/>
        </w:rPr>
      </w:pPr>
      <w:r w:rsidRPr="00C3762A">
        <w:rPr>
          <w:rFonts w:eastAsia="Times New Roman" w:cs="Times New Roman"/>
          <w:i/>
          <w:iCs/>
          <w:color w:val="000000"/>
          <w:kern w:val="0"/>
          <w:szCs w:val="24"/>
          <w:lang w:eastAsia="es-ES_tradnl"/>
          <w14:ligatures w14:val="none"/>
        </w:rPr>
        <w:t>* En cuanto los ejercicios 2020 y 2021, para el momento de la actuación fiscal, el ilícito tributario determinado es el de la omisión del pago del Timbre Fiscal, correspondiente a la Renovación de la Licencia de Licores. Ilícito tipificado en el artículo 91 de la Ley de Timbre Fiscal del Estado Bolívar de 2018.</w:t>
      </w:r>
    </w:p>
    <w:p w14:paraId="20B90F7C" w14:textId="77777777" w:rsidR="00C3762A" w:rsidRPr="00C3762A" w:rsidRDefault="00C3762A" w:rsidP="00C3762A">
      <w:pPr>
        <w:ind w:left="1134" w:right="907" w:firstLine="0"/>
        <w:jc w:val="both"/>
        <w:rPr>
          <w:rFonts w:eastAsia="Times New Roman" w:cs="Times New Roman"/>
          <w:color w:val="000000"/>
          <w:kern w:val="0"/>
          <w:sz w:val="28"/>
          <w:szCs w:val="28"/>
          <w:lang w:val="es-VE" w:eastAsia="es-ES_tradnl"/>
          <w14:ligatures w14:val="none"/>
        </w:rPr>
      </w:pPr>
      <w:r w:rsidRPr="00C3762A">
        <w:rPr>
          <w:rFonts w:eastAsia="Times New Roman" w:cs="Times New Roman"/>
          <w:i/>
          <w:iCs/>
          <w:color w:val="000000"/>
          <w:kern w:val="0"/>
          <w:szCs w:val="24"/>
          <w:lang w:eastAsia="es-ES_tradnl"/>
          <w14:ligatures w14:val="none"/>
        </w:rPr>
        <w:t xml:space="preserve">Una vez identificado el título jurídico regular, el cual recae en el ilícito tributario relacionado con el pago del Timbre Fiscal correspondiente a la Renovación de las Licencias de Licores MY-149 y MN-323, para el expendio de licores en los ejercicios 2019, 2020 y 2021; en este sentido, corresponde a este Tribunal Superior de lo Contencioso Tributario, analizar la denuncia formulada por la representación de la contribuyente, con relación a la aplicación retroactiva de la norma, en cuanto a la graduación de la sanción, para ello, es necesario determinar el método de cálculo empleado en la Resolución de Imposición de Sanción por Incumplimiento de Deberes Formales identificada con el N GEB/SAF/SAT/SATEEB/DD/GIF/DV/0022022; en principio se aplica la pena establecida en el artículo 86 de la Ley de Timbre Fiscal del Estado Bolívar de 2018 aplicable </w:t>
      </w:r>
      <w:proofErr w:type="spellStart"/>
      <w:r w:rsidRPr="00C3762A">
        <w:rPr>
          <w:rFonts w:eastAsia="Times New Roman" w:cs="Times New Roman"/>
          <w:i/>
          <w:iCs/>
          <w:color w:val="000000"/>
          <w:kern w:val="0"/>
          <w:szCs w:val="24"/>
          <w:lang w:eastAsia="es-ES_tradnl"/>
          <w14:ligatures w14:val="none"/>
        </w:rPr>
        <w:t>ratione</w:t>
      </w:r>
      <w:proofErr w:type="spellEnd"/>
      <w:r w:rsidRPr="00C3762A">
        <w:rPr>
          <w:rFonts w:eastAsia="Times New Roman" w:cs="Times New Roman"/>
          <w:i/>
          <w:iCs/>
          <w:color w:val="000000"/>
          <w:kern w:val="0"/>
          <w:szCs w:val="24"/>
          <w:lang w:eastAsia="es-ES_tradnl"/>
          <w14:ligatures w14:val="none"/>
        </w:rPr>
        <w:t xml:space="preserve"> </w:t>
      </w:r>
      <w:proofErr w:type="spellStart"/>
      <w:r w:rsidRPr="00C3762A">
        <w:rPr>
          <w:rFonts w:eastAsia="Times New Roman" w:cs="Times New Roman"/>
          <w:i/>
          <w:iCs/>
          <w:color w:val="000000"/>
          <w:kern w:val="0"/>
          <w:szCs w:val="24"/>
          <w:lang w:eastAsia="es-ES_tradnl"/>
          <w14:ligatures w14:val="none"/>
        </w:rPr>
        <w:t>temporis</w:t>
      </w:r>
      <w:proofErr w:type="spellEnd"/>
      <w:r w:rsidRPr="00C3762A">
        <w:rPr>
          <w:rFonts w:eastAsia="Times New Roman" w:cs="Times New Roman"/>
          <w:i/>
          <w:iCs/>
          <w:color w:val="000000"/>
          <w:kern w:val="0"/>
          <w:szCs w:val="24"/>
          <w:lang w:eastAsia="es-ES_tradnl"/>
          <w14:ligatures w14:val="none"/>
        </w:rPr>
        <w:t>, y se establece en el límite inferior de 250 U.T.. y en virtud de la concurrencia de infracciones, aplicando la formula contenida en el artículo 82 del Decreto Constituyente que dicta el Código Orgánico Tributario de 2020, se aplica la más grave y se incrementa en la mitad de las otras penas. </w:t>
      </w:r>
    </w:p>
    <w:p w14:paraId="7693D140" w14:textId="77777777" w:rsidR="00C3762A" w:rsidRPr="00C3762A" w:rsidRDefault="00C3762A" w:rsidP="00C3762A">
      <w:pPr>
        <w:ind w:left="1134" w:right="907" w:firstLine="0"/>
        <w:jc w:val="both"/>
        <w:rPr>
          <w:rFonts w:eastAsia="Times New Roman" w:cs="Times New Roman"/>
          <w:color w:val="000000"/>
          <w:kern w:val="0"/>
          <w:sz w:val="28"/>
          <w:szCs w:val="28"/>
          <w:lang w:val="es-VE" w:eastAsia="es-ES_tradnl"/>
          <w14:ligatures w14:val="none"/>
        </w:rPr>
      </w:pPr>
      <w:r w:rsidRPr="00C3762A">
        <w:rPr>
          <w:rFonts w:eastAsia="Times New Roman" w:cs="Times New Roman"/>
          <w:i/>
          <w:iCs/>
          <w:color w:val="000000"/>
          <w:kern w:val="0"/>
          <w:szCs w:val="24"/>
          <w:lang w:eastAsia="es-ES_tradnl"/>
          <w14:ligatures w14:val="none"/>
        </w:rPr>
        <w:t xml:space="preserve">En este sentido, la consecuencia jurídica se encuentra contenida en la norma sustantiva, en este caso, la Ley de Timbre Fiscal Estadal, siendo necesario describir que las sanciones están expresadas en Unidades Tributarias, para su determinación en bolívares, y la Sala Político Administrativa, en sentencia 1426 de fecha 12 de Noviembre de 2018, caso Walt Disney, aclaró lo relacionado con la unidad tributaria que debe ser utilizada para fijar la sanción, sin que esto constituya una violación al principio de no retroactividad de la norma consagrado en </w:t>
      </w:r>
      <w:r w:rsidRPr="00C3762A">
        <w:rPr>
          <w:rFonts w:eastAsia="Times New Roman" w:cs="Times New Roman"/>
          <w:i/>
          <w:iCs/>
          <w:color w:val="000000"/>
          <w:kern w:val="0"/>
          <w:szCs w:val="24"/>
          <w:lang w:eastAsia="es-ES_tradnl"/>
          <w14:ligatures w14:val="none"/>
        </w:rPr>
        <w:lastRenderedPageBreak/>
        <w:t>el artículo 24 del texto constitucional, en este sentido hizo el siguiente análisis:</w:t>
      </w:r>
    </w:p>
    <w:p w14:paraId="1FCF6FD9" w14:textId="77777777" w:rsidR="00C3762A" w:rsidRPr="00C3762A" w:rsidRDefault="00C3762A" w:rsidP="00C3762A">
      <w:pPr>
        <w:ind w:left="1134" w:right="907" w:firstLine="0"/>
        <w:jc w:val="center"/>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eastAsia="es-ES_tradnl"/>
          <w14:ligatures w14:val="none"/>
        </w:rPr>
        <w:t>(…</w:t>
      </w:r>
      <w:proofErr w:type="spellStart"/>
      <w:r w:rsidRPr="00C3762A">
        <w:rPr>
          <w:rFonts w:eastAsia="Times New Roman" w:cs="Times New Roman"/>
          <w:color w:val="000000"/>
          <w:kern w:val="0"/>
          <w:szCs w:val="24"/>
          <w:lang w:eastAsia="es-ES_tradnl"/>
          <w14:ligatures w14:val="none"/>
        </w:rPr>
        <w:t>Omissis</w:t>
      </w:r>
      <w:proofErr w:type="spellEnd"/>
      <w:r w:rsidRPr="00C3762A">
        <w:rPr>
          <w:rFonts w:eastAsia="Times New Roman" w:cs="Times New Roman"/>
          <w:color w:val="000000"/>
          <w:kern w:val="0"/>
          <w:szCs w:val="24"/>
          <w:lang w:eastAsia="es-ES_tradnl"/>
          <w14:ligatures w14:val="none"/>
        </w:rPr>
        <w:t>…)</w:t>
      </w:r>
    </w:p>
    <w:p w14:paraId="7402AB60" w14:textId="77777777" w:rsidR="00C3762A" w:rsidRPr="00C3762A" w:rsidRDefault="00C3762A" w:rsidP="00C3762A">
      <w:pPr>
        <w:ind w:left="1134" w:right="907" w:firstLine="0"/>
        <w:jc w:val="both"/>
        <w:rPr>
          <w:rFonts w:eastAsia="Times New Roman" w:cs="Times New Roman"/>
          <w:color w:val="000000"/>
          <w:kern w:val="0"/>
          <w:sz w:val="28"/>
          <w:szCs w:val="28"/>
          <w:lang w:val="es-VE" w:eastAsia="es-ES_tradnl"/>
          <w14:ligatures w14:val="none"/>
        </w:rPr>
      </w:pPr>
      <w:r w:rsidRPr="00C3762A">
        <w:rPr>
          <w:rFonts w:eastAsia="Times New Roman" w:cs="Times New Roman"/>
          <w:i/>
          <w:iCs/>
          <w:color w:val="000000"/>
          <w:kern w:val="0"/>
          <w:szCs w:val="24"/>
          <w:lang w:eastAsia="es-ES_tradnl"/>
          <w14:ligatures w14:val="none"/>
        </w:rPr>
        <w:t xml:space="preserve">Tomando en consideración lo antes citado, en el caso a quo se presenta la situación del cómo aplicar la sanción y el cómo evitar que la misma pierda sus efectos </w:t>
      </w:r>
      <w:proofErr w:type="gramStart"/>
      <w:r w:rsidRPr="00C3762A">
        <w:rPr>
          <w:rFonts w:eastAsia="Times New Roman" w:cs="Times New Roman"/>
          <w:i/>
          <w:iCs/>
          <w:color w:val="000000"/>
          <w:kern w:val="0"/>
          <w:szCs w:val="24"/>
          <w:lang w:eastAsia="es-ES_tradnl"/>
          <w14:ligatures w14:val="none"/>
        </w:rPr>
        <w:t>en razón del</w:t>
      </w:r>
      <w:proofErr w:type="gramEnd"/>
      <w:r w:rsidRPr="00C3762A">
        <w:rPr>
          <w:rFonts w:eastAsia="Times New Roman" w:cs="Times New Roman"/>
          <w:i/>
          <w:iCs/>
          <w:color w:val="000000"/>
          <w:kern w:val="0"/>
          <w:szCs w:val="24"/>
          <w:lang w:eastAsia="es-ES_tradnl"/>
          <w14:ligatures w14:val="none"/>
        </w:rPr>
        <w:t xml:space="preserve"> tiempo y por los efectos de la inflación.</w:t>
      </w:r>
    </w:p>
    <w:p w14:paraId="25757006" w14:textId="77777777" w:rsidR="00C3762A" w:rsidRPr="00C3762A" w:rsidRDefault="00C3762A" w:rsidP="00C3762A">
      <w:pPr>
        <w:ind w:left="1134" w:right="907" w:firstLine="0"/>
        <w:jc w:val="both"/>
        <w:rPr>
          <w:rFonts w:eastAsia="Times New Roman" w:cs="Times New Roman"/>
          <w:color w:val="000000"/>
          <w:kern w:val="0"/>
          <w:sz w:val="28"/>
          <w:szCs w:val="28"/>
          <w:lang w:val="es-VE" w:eastAsia="es-ES_tradnl"/>
          <w14:ligatures w14:val="none"/>
        </w:rPr>
      </w:pPr>
      <w:r w:rsidRPr="00C3762A">
        <w:rPr>
          <w:rFonts w:eastAsia="Times New Roman" w:cs="Times New Roman"/>
          <w:i/>
          <w:iCs/>
          <w:color w:val="000000"/>
          <w:kern w:val="0"/>
          <w:szCs w:val="24"/>
          <w:lang w:eastAsia="es-ES_tradnl"/>
          <w14:ligatures w14:val="none"/>
        </w:rPr>
        <w:t xml:space="preserve">Ahora </w:t>
      </w:r>
      <w:proofErr w:type="gramStart"/>
      <w:r w:rsidRPr="00C3762A">
        <w:rPr>
          <w:rFonts w:eastAsia="Times New Roman" w:cs="Times New Roman"/>
          <w:i/>
          <w:iCs/>
          <w:color w:val="000000"/>
          <w:kern w:val="0"/>
          <w:szCs w:val="24"/>
          <w:lang w:eastAsia="es-ES_tradnl"/>
          <w14:ligatures w14:val="none"/>
        </w:rPr>
        <w:t>bien</w:t>
      </w:r>
      <w:proofErr w:type="gramEnd"/>
      <w:r w:rsidRPr="00C3762A">
        <w:rPr>
          <w:rFonts w:eastAsia="Times New Roman" w:cs="Times New Roman"/>
          <w:i/>
          <w:iCs/>
          <w:color w:val="000000"/>
          <w:kern w:val="0"/>
          <w:szCs w:val="24"/>
          <w:lang w:eastAsia="es-ES_tradnl"/>
          <w14:ligatures w14:val="none"/>
        </w:rPr>
        <w:t xml:space="preserve"> con relación al ajuste de la sanción en cuanto a su convertibilidad en bolívares digitales, el Decreto Constituyente que dicta el Código Orgánico Tributario en el artículo 346 señala:</w:t>
      </w:r>
    </w:p>
    <w:p w14:paraId="25574A1B" w14:textId="77777777" w:rsidR="00C3762A" w:rsidRPr="00C3762A" w:rsidRDefault="00C3762A" w:rsidP="00C3762A">
      <w:pPr>
        <w:ind w:left="1134" w:right="907" w:firstLine="0"/>
        <w:jc w:val="center"/>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eastAsia="es-ES_tradnl"/>
          <w14:ligatures w14:val="none"/>
        </w:rPr>
        <w:t>(…</w:t>
      </w:r>
      <w:proofErr w:type="spellStart"/>
      <w:r w:rsidRPr="00C3762A">
        <w:rPr>
          <w:rFonts w:eastAsia="Times New Roman" w:cs="Times New Roman"/>
          <w:color w:val="000000"/>
          <w:kern w:val="0"/>
          <w:szCs w:val="24"/>
          <w:lang w:eastAsia="es-ES_tradnl"/>
          <w14:ligatures w14:val="none"/>
        </w:rPr>
        <w:t>Omissis</w:t>
      </w:r>
      <w:proofErr w:type="spellEnd"/>
      <w:r w:rsidRPr="00C3762A">
        <w:rPr>
          <w:rFonts w:eastAsia="Times New Roman" w:cs="Times New Roman"/>
          <w:color w:val="000000"/>
          <w:kern w:val="0"/>
          <w:szCs w:val="24"/>
          <w:lang w:eastAsia="es-ES_tradnl"/>
          <w14:ligatures w14:val="none"/>
        </w:rPr>
        <w:t>…)</w:t>
      </w:r>
    </w:p>
    <w:p w14:paraId="20C2C2EE" w14:textId="77777777" w:rsidR="00C3762A" w:rsidRPr="00C3762A" w:rsidRDefault="00C3762A" w:rsidP="00C3762A">
      <w:pPr>
        <w:ind w:left="1134" w:right="907" w:firstLine="0"/>
        <w:jc w:val="both"/>
        <w:rPr>
          <w:rFonts w:eastAsia="Times New Roman" w:cs="Times New Roman"/>
          <w:color w:val="000000"/>
          <w:kern w:val="0"/>
          <w:sz w:val="28"/>
          <w:szCs w:val="28"/>
          <w:lang w:val="es-VE" w:eastAsia="es-ES_tradnl"/>
          <w14:ligatures w14:val="none"/>
        </w:rPr>
      </w:pPr>
      <w:r w:rsidRPr="00C3762A">
        <w:rPr>
          <w:rFonts w:eastAsia="Times New Roman" w:cs="Times New Roman"/>
          <w:i/>
          <w:iCs/>
          <w:color w:val="000000"/>
          <w:kern w:val="0"/>
          <w:szCs w:val="24"/>
          <w:lang w:eastAsia="es-ES_tradnl"/>
          <w14:ligatures w14:val="none"/>
        </w:rPr>
        <w:t xml:space="preserve">De acuerdo con lo establecido en este </w:t>
      </w:r>
      <w:proofErr w:type="spellStart"/>
      <w:r w:rsidRPr="00C3762A">
        <w:rPr>
          <w:rFonts w:eastAsia="Times New Roman" w:cs="Times New Roman"/>
          <w:i/>
          <w:iCs/>
          <w:color w:val="000000"/>
          <w:kern w:val="0"/>
          <w:szCs w:val="24"/>
          <w:lang w:eastAsia="es-ES_tradnl"/>
          <w14:ligatures w14:val="none"/>
        </w:rPr>
        <w:t>articulo</w:t>
      </w:r>
      <w:proofErr w:type="spellEnd"/>
      <w:r w:rsidRPr="00C3762A">
        <w:rPr>
          <w:rFonts w:eastAsia="Times New Roman" w:cs="Times New Roman"/>
          <w:i/>
          <w:iCs/>
          <w:color w:val="000000"/>
          <w:kern w:val="0"/>
          <w:szCs w:val="24"/>
          <w:lang w:eastAsia="es-ES_tradnl"/>
          <w14:ligatures w14:val="none"/>
        </w:rPr>
        <w:t xml:space="preserve">, esta fórmula es improcedente aplicarla, por dos razones legales: En primer lugar por ser incompatibles las unidades de medida, el </w:t>
      </w:r>
      <w:proofErr w:type="spellStart"/>
      <w:r w:rsidRPr="00C3762A">
        <w:rPr>
          <w:rFonts w:eastAsia="Times New Roman" w:cs="Times New Roman"/>
          <w:i/>
          <w:iCs/>
          <w:color w:val="000000"/>
          <w:kern w:val="0"/>
          <w:szCs w:val="24"/>
          <w:lang w:eastAsia="es-ES_tradnl"/>
          <w14:ligatures w14:val="none"/>
        </w:rPr>
        <w:t>articulo</w:t>
      </w:r>
      <w:proofErr w:type="spellEnd"/>
      <w:r w:rsidRPr="00C3762A">
        <w:rPr>
          <w:rFonts w:eastAsia="Times New Roman" w:cs="Times New Roman"/>
          <w:i/>
          <w:iCs/>
          <w:color w:val="000000"/>
          <w:kern w:val="0"/>
          <w:szCs w:val="24"/>
          <w:lang w:eastAsia="es-ES_tradnl"/>
          <w14:ligatures w14:val="none"/>
        </w:rPr>
        <w:t xml:space="preserve"> en referencia establece un ajuste cuando la multa este expresada en la moneda de mayor valor publicada por el Banco Central de Venezuela, la multa fue calculada en Unidades Tributarias atendiendo al dispositivo sancionador contenido en la Ley de Timbre Fiscal del Estado Bolívar de 2018, y la Administración Tributaria Estadal la ancló a la Unidad Tributaria Estadal para los efectos del ajuste de la multa en consideración a la fecha de pago. En segundo lugar, aplicar la Unidad Tributaria Estadal viola el principio de no retroactividad de la norma consagrado en el artículo 24 de la Constitución de la República Bolivariana de Venezuela y artículo 8 del Decreto Constituyente que dicta el Código Orgánico Tributario, ya que el dispositivo que establece la aplicación de la Unidad Tributaria Estadal se encuentra contenido en la Ley de Timbre Fiscal del Estado Bolívar publicada en Gaceta Oficial Ordinaria del Estado Bolívar N° 2.766, de fecha 24 de Enero de 2022. y los ilícitos tributarios se materializaron, a partir del 1 de enero de los años 2019, 2020 y 2021. </w:t>
      </w:r>
    </w:p>
    <w:p w14:paraId="6ABCE51F" w14:textId="77777777" w:rsidR="00C3762A" w:rsidRPr="00C3762A" w:rsidRDefault="00C3762A" w:rsidP="00C3762A">
      <w:pPr>
        <w:ind w:left="1134" w:right="907" w:firstLine="0"/>
        <w:jc w:val="center"/>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eastAsia="es-ES_tradnl"/>
          <w14:ligatures w14:val="none"/>
        </w:rPr>
        <w:t>(…</w:t>
      </w:r>
      <w:proofErr w:type="spellStart"/>
      <w:r w:rsidRPr="00C3762A">
        <w:rPr>
          <w:rFonts w:eastAsia="Times New Roman" w:cs="Times New Roman"/>
          <w:color w:val="000000"/>
          <w:kern w:val="0"/>
          <w:szCs w:val="24"/>
          <w:lang w:eastAsia="es-ES_tradnl"/>
          <w14:ligatures w14:val="none"/>
        </w:rPr>
        <w:t>Omissis</w:t>
      </w:r>
      <w:proofErr w:type="spellEnd"/>
      <w:r w:rsidRPr="00C3762A">
        <w:rPr>
          <w:rFonts w:eastAsia="Times New Roman" w:cs="Times New Roman"/>
          <w:color w:val="000000"/>
          <w:kern w:val="0"/>
          <w:szCs w:val="24"/>
          <w:lang w:eastAsia="es-ES_tradnl"/>
          <w14:ligatures w14:val="none"/>
        </w:rPr>
        <w:t>…)</w:t>
      </w:r>
    </w:p>
    <w:p w14:paraId="6BAECD18" w14:textId="77777777" w:rsidR="00C3762A" w:rsidRPr="00C3762A" w:rsidRDefault="00C3762A" w:rsidP="00C3762A">
      <w:pPr>
        <w:ind w:left="1134" w:right="907" w:firstLine="0"/>
        <w:jc w:val="both"/>
        <w:rPr>
          <w:rFonts w:eastAsia="Times New Roman" w:cs="Times New Roman"/>
          <w:color w:val="000000"/>
          <w:kern w:val="0"/>
          <w:sz w:val="28"/>
          <w:szCs w:val="28"/>
          <w:lang w:val="es-VE" w:eastAsia="es-ES_tradnl"/>
          <w14:ligatures w14:val="none"/>
        </w:rPr>
      </w:pPr>
      <w:r w:rsidRPr="00C3762A">
        <w:rPr>
          <w:rFonts w:eastAsia="Times New Roman" w:cs="Times New Roman"/>
          <w:i/>
          <w:iCs/>
          <w:color w:val="000000"/>
          <w:kern w:val="0"/>
          <w:szCs w:val="24"/>
          <w:lang w:val="es-VE" w:eastAsia="es-ES_tradnl"/>
          <w14:ligatures w14:val="none"/>
        </w:rPr>
        <w:t>En el caso a quo, la Administración Tributaria Estadal ante la inobservancia del dispositivo contenido en el artículo 346 del Decreto Constituyente que dicta el Código Orgánico Tributario de 2020, lo cual, provocó un retardo legislativo, acudió a la aplicación errada del dispositivo contenido en el artículo 91 de la norma In Comento, el cual de acuerdo con el análisis efectuado ut supra. es de imposible aplicación: en razón de ello, este Tribunal Superior de lo Contencioso Tributario considera que el procedimiento de determinación de la sanción vulnera el principio constitucional de la no retroactividad de la norma, además de la errada aplicación del derecho al supuesto de hecho, aunado a una cerrada apreciación de los hechos. lo cual forzosamente vicia de nulidad absoluta al acto administrativo. </w:t>
      </w:r>
      <w:r w:rsidRPr="00C3762A">
        <w:rPr>
          <w:rFonts w:eastAsia="Times New Roman" w:cs="Times New Roman"/>
          <w:b/>
          <w:bCs/>
          <w:i/>
          <w:iCs/>
          <w:color w:val="000000"/>
          <w:kern w:val="0"/>
          <w:szCs w:val="24"/>
          <w:lang w:val="es-VE" w:eastAsia="es-ES_tradnl"/>
          <w14:ligatures w14:val="none"/>
        </w:rPr>
        <w:t>Así se decide</w:t>
      </w:r>
      <w:r w:rsidRPr="00C3762A">
        <w:rPr>
          <w:rFonts w:eastAsia="Times New Roman" w:cs="Times New Roman"/>
          <w:i/>
          <w:iCs/>
          <w:color w:val="000000"/>
          <w:kern w:val="0"/>
          <w:szCs w:val="24"/>
          <w:lang w:val="es-VE" w:eastAsia="es-ES_tradnl"/>
          <w14:ligatures w14:val="none"/>
        </w:rPr>
        <w:t>.</w:t>
      </w:r>
    </w:p>
    <w:p w14:paraId="2BFF1512" w14:textId="77777777" w:rsidR="00C3762A" w:rsidRPr="00C3762A" w:rsidRDefault="00C3762A" w:rsidP="00C3762A">
      <w:pPr>
        <w:ind w:left="1134" w:right="907" w:firstLine="0"/>
        <w:jc w:val="both"/>
        <w:rPr>
          <w:rFonts w:eastAsia="Times New Roman" w:cs="Times New Roman"/>
          <w:color w:val="000000"/>
          <w:kern w:val="0"/>
          <w:sz w:val="28"/>
          <w:szCs w:val="28"/>
          <w:lang w:val="es-VE" w:eastAsia="es-ES_tradnl"/>
          <w14:ligatures w14:val="none"/>
        </w:rPr>
      </w:pPr>
      <w:r w:rsidRPr="00C3762A">
        <w:rPr>
          <w:rFonts w:eastAsia="Times New Roman" w:cs="Times New Roman"/>
          <w:i/>
          <w:iCs/>
          <w:color w:val="000000"/>
          <w:kern w:val="0"/>
          <w:szCs w:val="24"/>
          <w:lang w:val="es-VE" w:eastAsia="es-ES_tradnl"/>
          <w14:ligatures w14:val="none"/>
        </w:rPr>
        <w:lastRenderedPageBreak/>
        <w:t>Con relación al segundo alegato presentado por la representación de la contribuyente, cuya pretensión jurídica solicita la nulidad del Acto Administrativo contenido en la Resolución de Imposición de Sanción por Incumplimiento de Deberes Formales N GEB/SAF/SAATEB/DD/ GIF/DV/002/2022 de fecha 25 de marzo del año 2022, por estar viciada de Inmotivación. Es de señalar que una vez analizado el referido acto, y las partes que comprenden el mismo: Narrativa, Motiva y Dispositiva, se expone de manera sucinta las razones de hecho y de derecho en que se fundamentan para la determinación de la sanción:</w:t>
      </w:r>
    </w:p>
    <w:p w14:paraId="73D8170C" w14:textId="77777777" w:rsidR="00C3762A" w:rsidRPr="00C3762A" w:rsidRDefault="00C3762A" w:rsidP="00C3762A">
      <w:pPr>
        <w:ind w:left="1134" w:right="907" w:firstLine="0"/>
        <w:jc w:val="center"/>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eastAsia="es-ES_tradnl"/>
          <w14:ligatures w14:val="none"/>
        </w:rPr>
        <w:t>(…</w:t>
      </w:r>
      <w:proofErr w:type="spellStart"/>
      <w:r w:rsidRPr="00C3762A">
        <w:rPr>
          <w:rFonts w:eastAsia="Times New Roman" w:cs="Times New Roman"/>
          <w:color w:val="000000"/>
          <w:kern w:val="0"/>
          <w:szCs w:val="24"/>
          <w:lang w:eastAsia="es-ES_tradnl"/>
          <w14:ligatures w14:val="none"/>
        </w:rPr>
        <w:t>Omissis</w:t>
      </w:r>
      <w:proofErr w:type="spellEnd"/>
      <w:r w:rsidRPr="00C3762A">
        <w:rPr>
          <w:rFonts w:eastAsia="Times New Roman" w:cs="Times New Roman"/>
          <w:color w:val="000000"/>
          <w:kern w:val="0"/>
          <w:szCs w:val="24"/>
          <w:lang w:eastAsia="es-ES_tradnl"/>
          <w14:ligatures w14:val="none"/>
        </w:rPr>
        <w:t>…)</w:t>
      </w:r>
    </w:p>
    <w:p w14:paraId="43F91A73" w14:textId="77777777" w:rsidR="00C3762A" w:rsidRPr="00C3762A" w:rsidRDefault="00C3762A" w:rsidP="00C3762A">
      <w:pPr>
        <w:ind w:left="1134" w:right="907" w:firstLine="0"/>
        <w:jc w:val="both"/>
        <w:rPr>
          <w:rFonts w:eastAsia="Times New Roman" w:cs="Times New Roman"/>
          <w:color w:val="000000"/>
          <w:kern w:val="0"/>
          <w:sz w:val="28"/>
          <w:szCs w:val="28"/>
          <w:lang w:val="es-VE" w:eastAsia="es-ES_tradnl"/>
          <w14:ligatures w14:val="none"/>
        </w:rPr>
      </w:pPr>
      <w:r w:rsidRPr="00C3762A">
        <w:rPr>
          <w:rFonts w:eastAsia="Times New Roman" w:cs="Times New Roman"/>
          <w:i/>
          <w:iCs/>
          <w:color w:val="000000"/>
          <w:kern w:val="0"/>
          <w:szCs w:val="24"/>
          <w:lang w:eastAsia="es-ES_tradnl"/>
          <w14:ligatures w14:val="none"/>
        </w:rPr>
        <w:t xml:space="preserve">En este sentido, es importante resaltar la importancia del expediente administrativo que se conforma con ocasión a la actuación fiscal, el cual fue promovido y consignado por la representación de la Administración Tributaria Estadal, y del cual este </w:t>
      </w:r>
      <w:proofErr w:type="spellStart"/>
      <w:r w:rsidRPr="00C3762A">
        <w:rPr>
          <w:rFonts w:eastAsia="Times New Roman" w:cs="Times New Roman"/>
          <w:i/>
          <w:iCs/>
          <w:color w:val="000000"/>
          <w:kern w:val="0"/>
          <w:szCs w:val="24"/>
          <w:lang w:eastAsia="es-ES_tradnl"/>
          <w14:ligatures w14:val="none"/>
        </w:rPr>
        <w:t>jurisdiscente</w:t>
      </w:r>
      <w:proofErr w:type="spellEnd"/>
      <w:r w:rsidRPr="00C3762A">
        <w:rPr>
          <w:rFonts w:eastAsia="Times New Roman" w:cs="Times New Roman"/>
          <w:i/>
          <w:iCs/>
          <w:color w:val="000000"/>
          <w:kern w:val="0"/>
          <w:szCs w:val="24"/>
          <w:lang w:eastAsia="es-ES_tradnl"/>
          <w14:ligatures w14:val="none"/>
        </w:rPr>
        <w:t xml:space="preserve"> pudo extraer los elementos que demuestran la comisión del ilícito tributario que dio origen al acto administrativo contenido en la Resolución de Imposición de Sanción por Incumplimiento de Deberes Formales N GEB/SAF/SAATEB/DD/GIF/DV/002/2022 de fecha 25 de marzo del año 2022.</w:t>
      </w:r>
    </w:p>
    <w:p w14:paraId="4678879E" w14:textId="77777777" w:rsidR="00C3762A" w:rsidRPr="00C3762A" w:rsidRDefault="00C3762A" w:rsidP="00C3762A">
      <w:pPr>
        <w:ind w:left="1134" w:right="907" w:firstLine="0"/>
        <w:jc w:val="center"/>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eastAsia="es-ES_tradnl"/>
          <w14:ligatures w14:val="none"/>
        </w:rPr>
        <w:t>(…</w:t>
      </w:r>
      <w:proofErr w:type="spellStart"/>
      <w:r w:rsidRPr="00C3762A">
        <w:rPr>
          <w:rFonts w:eastAsia="Times New Roman" w:cs="Times New Roman"/>
          <w:color w:val="000000"/>
          <w:kern w:val="0"/>
          <w:szCs w:val="24"/>
          <w:lang w:eastAsia="es-ES_tradnl"/>
          <w14:ligatures w14:val="none"/>
        </w:rPr>
        <w:t>Omissis</w:t>
      </w:r>
      <w:proofErr w:type="spellEnd"/>
      <w:r w:rsidRPr="00C3762A">
        <w:rPr>
          <w:rFonts w:eastAsia="Times New Roman" w:cs="Times New Roman"/>
          <w:color w:val="000000"/>
          <w:kern w:val="0"/>
          <w:szCs w:val="24"/>
          <w:lang w:eastAsia="es-ES_tradnl"/>
          <w14:ligatures w14:val="none"/>
        </w:rPr>
        <w:t>…)</w:t>
      </w:r>
    </w:p>
    <w:p w14:paraId="18F78A13" w14:textId="77777777" w:rsidR="00C3762A" w:rsidRPr="00C3762A" w:rsidRDefault="00C3762A" w:rsidP="00C3762A">
      <w:pPr>
        <w:ind w:left="1134" w:right="907" w:firstLine="0"/>
        <w:jc w:val="both"/>
        <w:rPr>
          <w:rFonts w:eastAsia="Times New Roman" w:cs="Times New Roman"/>
          <w:color w:val="000000"/>
          <w:kern w:val="0"/>
          <w:sz w:val="28"/>
          <w:szCs w:val="28"/>
          <w:lang w:val="es-VE" w:eastAsia="es-ES_tradnl"/>
          <w14:ligatures w14:val="none"/>
        </w:rPr>
      </w:pPr>
      <w:r w:rsidRPr="00C3762A">
        <w:rPr>
          <w:rFonts w:eastAsia="Times New Roman" w:cs="Times New Roman"/>
          <w:i/>
          <w:iCs/>
          <w:color w:val="000000"/>
          <w:kern w:val="0"/>
          <w:szCs w:val="24"/>
          <w:lang w:eastAsia="es-ES_tradnl"/>
          <w14:ligatures w14:val="none"/>
        </w:rPr>
        <w:t xml:space="preserve">De acuerdo con los elementos que rielan en autos, y del contenido del acto administrativo cuya nulidad solicita la representación de la contribuyente, por presuntamente adolecer del vicio de </w:t>
      </w:r>
      <w:proofErr w:type="spellStart"/>
      <w:r w:rsidRPr="00C3762A">
        <w:rPr>
          <w:rFonts w:eastAsia="Times New Roman" w:cs="Times New Roman"/>
          <w:i/>
          <w:iCs/>
          <w:color w:val="000000"/>
          <w:kern w:val="0"/>
          <w:szCs w:val="24"/>
          <w:lang w:eastAsia="es-ES_tradnl"/>
          <w14:ligatures w14:val="none"/>
        </w:rPr>
        <w:t>Inmotivación</w:t>
      </w:r>
      <w:proofErr w:type="spellEnd"/>
      <w:r w:rsidRPr="00C3762A">
        <w:rPr>
          <w:rFonts w:eastAsia="Times New Roman" w:cs="Times New Roman"/>
          <w:i/>
          <w:iCs/>
          <w:color w:val="000000"/>
          <w:kern w:val="0"/>
          <w:szCs w:val="24"/>
          <w:lang w:eastAsia="es-ES_tradnl"/>
          <w14:ligatures w14:val="none"/>
        </w:rPr>
        <w:t xml:space="preserve">: considera este </w:t>
      </w:r>
      <w:proofErr w:type="spellStart"/>
      <w:r w:rsidRPr="00C3762A">
        <w:rPr>
          <w:rFonts w:eastAsia="Times New Roman" w:cs="Times New Roman"/>
          <w:i/>
          <w:iCs/>
          <w:color w:val="000000"/>
          <w:kern w:val="0"/>
          <w:szCs w:val="24"/>
          <w:lang w:eastAsia="es-ES_tradnl"/>
          <w14:ligatures w14:val="none"/>
        </w:rPr>
        <w:t>jurisdiscente</w:t>
      </w:r>
      <w:proofErr w:type="spellEnd"/>
      <w:r w:rsidRPr="00C3762A">
        <w:rPr>
          <w:rFonts w:eastAsia="Times New Roman" w:cs="Times New Roman"/>
          <w:i/>
          <w:iCs/>
          <w:color w:val="000000"/>
          <w:kern w:val="0"/>
          <w:szCs w:val="24"/>
          <w:lang w:eastAsia="es-ES_tradnl"/>
          <w14:ligatures w14:val="none"/>
        </w:rPr>
        <w:t xml:space="preserve"> que tal vicio no se observa en el mismo, y más aún cuando del expediente administrativo que se conformó con ocasión a la actuación fiscal, se desprenden los elementos suficientes que demuestran la comisión de los ilícitos tributarios, y tal como fue decidido ut supra, el vicio del cual adolece el Acto Administrativo contenido en la Resolución de Imposición de Sanción por Incumplimiento de Deberes Formales N° GEB/ SAF/SAATEB/DD/GIF/DV/002/2022. es el de Falso Supuesto de Derecho. </w:t>
      </w:r>
      <w:r w:rsidRPr="00C3762A">
        <w:rPr>
          <w:rFonts w:eastAsia="Times New Roman" w:cs="Times New Roman"/>
          <w:b/>
          <w:bCs/>
          <w:i/>
          <w:iCs/>
          <w:color w:val="000000"/>
          <w:kern w:val="0"/>
          <w:szCs w:val="24"/>
          <w:lang w:eastAsia="es-ES_tradnl"/>
          <w14:ligatures w14:val="none"/>
        </w:rPr>
        <w:t>Así se decide</w:t>
      </w:r>
      <w:r w:rsidRPr="00C3762A">
        <w:rPr>
          <w:rFonts w:eastAsia="Times New Roman" w:cs="Times New Roman"/>
          <w:i/>
          <w:iCs/>
          <w:color w:val="000000"/>
          <w:kern w:val="0"/>
          <w:szCs w:val="24"/>
          <w:lang w:eastAsia="es-ES_tradnl"/>
          <w14:ligatures w14:val="none"/>
        </w:rPr>
        <w:t>. </w:t>
      </w:r>
    </w:p>
    <w:p w14:paraId="6B78ADED" w14:textId="77777777" w:rsidR="00C3762A" w:rsidRPr="00C3762A" w:rsidRDefault="00C3762A" w:rsidP="00C3762A">
      <w:pPr>
        <w:ind w:left="1134" w:right="907" w:firstLine="0"/>
        <w:jc w:val="both"/>
        <w:rPr>
          <w:rFonts w:eastAsia="Times New Roman" w:cs="Times New Roman"/>
          <w:color w:val="000000"/>
          <w:kern w:val="0"/>
          <w:sz w:val="28"/>
          <w:szCs w:val="28"/>
          <w:lang w:val="es-VE" w:eastAsia="es-ES_tradnl"/>
          <w14:ligatures w14:val="none"/>
        </w:rPr>
      </w:pPr>
      <w:r w:rsidRPr="00C3762A">
        <w:rPr>
          <w:rFonts w:eastAsia="Times New Roman" w:cs="Times New Roman"/>
          <w:i/>
          <w:iCs/>
          <w:color w:val="000000"/>
          <w:kern w:val="0"/>
          <w:szCs w:val="24"/>
          <w:lang w:eastAsia="es-ES_tradnl"/>
          <w14:ligatures w14:val="none"/>
        </w:rPr>
        <w:t xml:space="preserve">Una vez analizados los alegatos de las partes y definida la controversia planteada en la litis: corresponde a este Tribunal Superior de lo Contencioso Tributario, en atención a los elementos que rielan en autos, donde se determinaron ilícitos tributarios, los cuales a criterio de este </w:t>
      </w:r>
      <w:proofErr w:type="spellStart"/>
      <w:r w:rsidRPr="00C3762A">
        <w:rPr>
          <w:rFonts w:eastAsia="Times New Roman" w:cs="Times New Roman"/>
          <w:i/>
          <w:iCs/>
          <w:color w:val="000000"/>
          <w:kern w:val="0"/>
          <w:szCs w:val="24"/>
          <w:lang w:eastAsia="es-ES_tradnl"/>
          <w14:ligatures w14:val="none"/>
        </w:rPr>
        <w:t>jurisdiscente</w:t>
      </w:r>
      <w:proofErr w:type="spellEnd"/>
      <w:r w:rsidRPr="00C3762A">
        <w:rPr>
          <w:rFonts w:eastAsia="Times New Roman" w:cs="Times New Roman"/>
          <w:i/>
          <w:iCs/>
          <w:color w:val="000000"/>
          <w:kern w:val="0"/>
          <w:szCs w:val="24"/>
          <w:lang w:eastAsia="es-ES_tradnl"/>
          <w14:ligatures w14:val="none"/>
        </w:rPr>
        <w:t xml:space="preserve"> el tratamiento jurídico en cuanto al procedimiento sancionatorio fue erróneamente aplicado: en atención al interés público que se desprende del mismo, por cuanto el incumplimiento de deberes de pagar por parte del sujeto pasivo, afectan los ingresos tributarios, y consecuentemente el rol social que persigue el tributo, y en atención al principio del control de legalidad, es menester corregir los errores cometidos por la Administración Tributaria Estadal en su </w:t>
      </w:r>
      <w:r w:rsidRPr="00C3762A">
        <w:rPr>
          <w:rFonts w:eastAsia="Times New Roman" w:cs="Times New Roman"/>
          <w:i/>
          <w:iCs/>
          <w:color w:val="000000"/>
          <w:kern w:val="0"/>
          <w:szCs w:val="24"/>
          <w:lang w:eastAsia="es-ES_tradnl"/>
          <w14:ligatures w14:val="none"/>
        </w:rPr>
        <w:lastRenderedPageBreak/>
        <w:t>procedimiento de Control Fiscal, y en la determinación de la consecuencia jurídica.</w:t>
      </w:r>
    </w:p>
    <w:p w14:paraId="0FB551B0" w14:textId="77777777" w:rsidR="00C3762A" w:rsidRPr="00C3762A" w:rsidRDefault="00C3762A" w:rsidP="00C3762A">
      <w:pPr>
        <w:ind w:left="1134" w:right="907" w:firstLine="0"/>
        <w:jc w:val="both"/>
        <w:rPr>
          <w:rFonts w:eastAsia="Times New Roman" w:cs="Times New Roman"/>
          <w:color w:val="000000"/>
          <w:kern w:val="0"/>
          <w:sz w:val="28"/>
          <w:szCs w:val="28"/>
          <w:lang w:val="es-VE" w:eastAsia="es-ES_tradnl"/>
          <w14:ligatures w14:val="none"/>
        </w:rPr>
      </w:pPr>
      <w:r w:rsidRPr="00C3762A">
        <w:rPr>
          <w:rFonts w:eastAsia="Times New Roman" w:cs="Times New Roman"/>
          <w:i/>
          <w:iCs/>
          <w:color w:val="000000"/>
          <w:kern w:val="0"/>
          <w:szCs w:val="24"/>
          <w:lang w:eastAsia="es-ES_tradnl"/>
          <w14:ligatures w14:val="none"/>
        </w:rPr>
        <w:t xml:space="preserve">Es de observar, que en la motiva del Acto Administrativo contenido en la Resolución de Imposición de Sanción por </w:t>
      </w:r>
      <w:proofErr w:type="gramStart"/>
      <w:r w:rsidRPr="00C3762A">
        <w:rPr>
          <w:rFonts w:eastAsia="Times New Roman" w:cs="Times New Roman"/>
          <w:i/>
          <w:iCs/>
          <w:color w:val="000000"/>
          <w:kern w:val="0"/>
          <w:szCs w:val="24"/>
          <w:lang w:eastAsia="es-ES_tradnl"/>
          <w14:ligatures w14:val="none"/>
        </w:rPr>
        <w:t>Incumplimiento  de</w:t>
      </w:r>
      <w:proofErr w:type="gramEnd"/>
      <w:r w:rsidRPr="00C3762A">
        <w:rPr>
          <w:rFonts w:eastAsia="Times New Roman" w:cs="Times New Roman"/>
          <w:i/>
          <w:iCs/>
          <w:color w:val="000000"/>
          <w:kern w:val="0"/>
          <w:szCs w:val="24"/>
          <w:lang w:eastAsia="es-ES_tradnl"/>
          <w14:ligatures w14:val="none"/>
        </w:rPr>
        <w:t xml:space="preserve">  Deberes  Formales  identificada  con  el   N° GEB/SAF/SAT/SATEEB/DD/GIF/DV/002/2022, la Administración Tributaria Estadal. señala </w:t>
      </w:r>
      <w:proofErr w:type="gramStart"/>
      <w:r w:rsidRPr="00C3762A">
        <w:rPr>
          <w:rFonts w:eastAsia="Times New Roman" w:cs="Times New Roman"/>
          <w:i/>
          <w:iCs/>
          <w:color w:val="000000"/>
          <w:kern w:val="0"/>
          <w:szCs w:val="24"/>
          <w:lang w:eastAsia="es-ES_tradnl"/>
          <w14:ligatures w14:val="none"/>
        </w:rPr>
        <w:t>que</w:t>
      </w:r>
      <w:proofErr w:type="gramEnd"/>
      <w:r w:rsidRPr="00C3762A">
        <w:rPr>
          <w:rFonts w:eastAsia="Times New Roman" w:cs="Times New Roman"/>
          <w:i/>
          <w:iCs/>
          <w:color w:val="000000"/>
          <w:kern w:val="0"/>
          <w:szCs w:val="24"/>
          <w:lang w:eastAsia="es-ES_tradnl"/>
          <w14:ligatures w14:val="none"/>
        </w:rPr>
        <w:t xml:space="preserve"> como resultado del procedimiento de Verificación, se determinó el Incumplimiento de un Deber Formal. En este sentido, es menester distinguir los ilícitos tributarios, los cuales están claramente definidos en el Decreto Constituyente que dicta el Código Orgánico Tributario en su artículo 81 en: Formales, Materiales y Penales.</w:t>
      </w:r>
    </w:p>
    <w:p w14:paraId="3A0B98B1" w14:textId="77777777" w:rsidR="00C3762A" w:rsidRPr="00C3762A" w:rsidRDefault="00C3762A" w:rsidP="00C3762A">
      <w:pPr>
        <w:ind w:left="1134" w:right="907" w:firstLine="0"/>
        <w:jc w:val="center"/>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eastAsia="es-ES_tradnl"/>
          <w14:ligatures w14:val="none"/>
        </w:rPr>
        <w:t>(…</w:t>
      </w:r>
      <w:proofErr w:type="spellStart"/>
      <w:r w:rsidRPr="00C3762A">
        <w:rPr>
          <w:rFonts w:eastAsia="Times New Roman" w:cs="Times New Roman"/>
          <w:color w:val="000000"/>
          <w:kern w:val="0"/>
          <w:szCs w:val="24"/>
          <w:lang w:eastAsia="es-ES_tradnl"/>
          <w14:ligatures w14:val="none"/>
        </w:rPr>
        <w:t>Omissis</w:t>
      </w:r>
      <w:proofErr w:type="spellEnd"/>
      <w:r w:rsidRPr="00C3762A">
        <w:rPr>
          <w:rFonts w:eastAsia="Times New Roman" w:cs="Times New Roman"/>
          <w:color w:val="000000"/>
          <w:kern w:val="0"/>
          <w:szCs w:val="24"/>
          <w:lang w:eastAsia="es-ES_tradnl"/>
          <w14:ligatures w14:val="none"/>
        </w:rPr>
        <w:t>…)</w:t>
      </w:r>
    </w:p>
    <w:p w14:paraId="69ED8A47" w14:textId="77777777" w:rsidR="00C3762A" w:rsidRPr="00C3762A" w:rsidRDefault="00C3762A" w:rsidP="00C3762A">
      <w:pPr>
        <w:ind w:left="1134" w:right="907" w:firstLine="0"/>
        <w:jc w:val="both"/>
        <w:rPr>
          <w:rFonts w:eastAsia="Times New Roman" w:cs="Times New Roman"/>
          <w:color w:val="000000"/>
          <w:kern w:val="0"/>
          <w:sz w:val="28"/>
          <w:szCs w:val="28"/>
          <w:lang w:val="es-VE" w:eastAsia="es-ES_tradnl"/>
          <w14:ligatures w14:val="none"/>
        </w:rPr>
      </w:pPr>
      <w:r w:rsidRPr="00C3762A">
        <w:rPr>
          <w:rFonts w:eastAsia="Times New Roman" w:cs="Times New Roman"/>
          <w:i/>
          <w:iCs/>
          <w:color w:val="000000"/>
          <w:kern w:val="0"/>
          <w:szCs w:val="24"/>
          <w:lang w:val="es-VE" w:eastAsia="es-ES_tradnl"/>
          <w14:ligatures w14:val="none"/>
        </w:rPr>
        <w:t>En el mismo orden de ideas, y en cuanto a la situación fáctica determinada por la Administración Tributaria Estadal, amerita la aplicación de la consecuencia jurídica establecida en la norma, pero de acuerdo con el procedimiento ajustado al principio de legalidad y no violatorio de principios constitucionales. Es menester, que la Administración Tributaria Estadal, ejerza el debido Control Fiscal, a través de procedimiento idóneo de control fiscal tomando en consideración el criterio de la Sala y en aplicación de los presupuestos de hecho y derecho contenidos en los artículos 86 numeral 4 y 91 de la Ley de Timbre Fiscal del Estado Bolívar. </w:t>
      </w:r>
      <w:r w:rsidRPr="00C3762A">
        <w:rPr>
          <w:rFonts w:eastAsia="Times New Roman" w:cs="Times New Roman"/>
          <w:b/>
          <w:bCs/>
          <w:i/>
          <w:iCs/>
          <w:color w:val="000000"/>
          <w:kern w:val="0"/>
          <w:szCs w:val="24"/>
          <w:lang w:val="es-VE" w:eastAsia="es-ES_tradnl"/>
          <w14:ligatures w14:val="none"/>
        </w:rPr>
        <w:t>Así se decide</w:t>
      </w:r>
      <w:r w:rsidRPr="00C3762A">
        <w:rPr>
          <w:rFonts w:eastAsia="Times New Roman" w:cs="Times New Roman"/>
          <w:i/>
          <w:iCs/>
          <w:color w:val="000000"/>
          <w:kern w:val="0"/>
          <w:szCs w:val="24"/>
          <w:lang w:val="es-VE" w:eastAsia="es-ES_tradnl"/>
          <w14:ligatures w14:val="none"/>
        </w:rPr>
        <w:t>. </w:t>
      </w:r>
    </w:p>
    <w:p w14:paraId="58DEA6AD" w14:textId="77777777" w:rsidR="00C3762A" w:rsidRPr="00C3762A" w:rsidRDefault="00C3762A" w:rsidP="00C3762A">
      <w:pPr>
        <w:ind w:left="1134" w:right="907" w:firstLine="0"/>
        <w:jc w:val="center"/>
        <w:rPr>
          <w:rFonts w:eastAsia="Times New Roman" w:cs="Times New Roman"/>
          <w:color w:val="000000"/>
          <w:kern w:val="0"/>
          <w:sz w:val="28"/>
          <w:szCs w:val="28"/>
          <w:lang w:val="es-VE" w:eastAsia="es-ES_tradnl"/>
          <w14:ligatures w14:val="none"/>
        </w:rPr>
      </w:pPr>
      <w:r w:rsidRPr="00C3762A">
        <w:rPr>
          <w:rFonts w:eastAsia="Times New Roman" w:cs="Times New Roman"/>
          <w:b/>
          <w:bCs/>
          <w:i/>
          <w:iCs/>
          <w:color w:val="000000"/>
          <w:kern w:val="0"/>
          <w:szCs w:val="24"/>
          <w:lang w:val="es-VE" w:eastAsia="es-ES_tradnl"/>
          <w14:ligatures w14:val="none"/>
        </w:rPr>
        <w:t>DECISIÓN</w:t>
      </w:r>
    </w:p>
    <w:p w14:paraId="70AD0F5D" w14:textId="77777777" w:rsidR="00C3762A" w:rsidRPr="00C3762A" w:rsidRDefault="00C3762A" w:rsidP="00C3762A">
      <w:pPr>
        <w:ind w:left="1134" w:right="907" w:firstLine="0"/>
        <w:jc w:val="both"/>
        <w:rPr>
          <w:rFonts w:eastAsia="Times New Roman" w:cs="Times New Roman"/>
          <w:color w:val="000000"/>
          <w:kern w:val="0"/>
          <w:sz w:val="28"/>
          <w:szCs w:val="28"/>
          <w:lang w:val="es-VE" w:eastAsia="es-ES_tradnl"/>
          <w14:ligatures w14:val="none"/>
        </w:rPr>
      </w:pPr>
      <w:r w:rsidRPr="00C3762A">
        <w:rPr>
          <w:rFonts w:eastAsia="Times New Roman" w:cs="Times New Roman"/>
          <w:i/>
          <w:iCs/>
          <w:color w:val="000000"/>
          <w:kern w:val="0"/>
          <w:szCs w:val="24"/>
          <w:lang w:val="es-VE" w:eastAsia="es-ES_tradnl"/>
          <w14:ligatures w14:val="none"/>
        </w:rPr>
        <w:t>Por las razones anteriormente expuestas y cumplidos como han sido los requisitos legales en el presente juicio, este Tribunal Superior de lo Contencioso Tributario de la Región Guayana con Competencia en las Circunscripciones Judiciales de los Estados Amazonas, Bolívar y Delta Amacuro, administrando Justicia en nombre de la República y por autoridad de la ley, declara </w:t>
      </w:r>
      <w:r w:rsidRPr="00C3762A">
        <w:rPr>
          <w:rFonts w:eastAsia="Times New Roman" w:cs="Times New Roman"/>
          <w:b/>
          <w:bCs/>
          <w:i/>
          <w:iCs/>
          <w:color w:val="000000"/>
          <w:kern w:val="0"/>
          <w:szCs w:val="24"/>
          <w:lang w:val="es-VE" w:eastAsia="es-ES_tradnl"/>
          <w14:ligatures w14:val="none"/>
        </w:rPr>
        <w:t>PARCIALMENTE CON LUGAR</w:t>
      </w:r>
      <w:r w:rsidRPr="00C3762A">
        <w:rPr>
          <w:rFonts w:eastAsia="Times New Roman" w:cs="Times New Roman"/>
          <w:i/>
          <w:iCs/>
          <w:color w:val="000000"/>
          <w:kern w:val="0"/>
          <w:szCs w:val="24"/>
          <w:lang w:val="es-VE" w:eastAsia="es-ES_tradnl"/>
          <w14:ligatures w14:val="none"/>
        </w:rPr>
        <w:t> el presente Recurso Contencioso Tributario. En consecuencia: </w:t>
      </w:r>
    </w:p>
    <w:p w14:paraId="3A335ECB" w14:textId="77777777" w:rsidR="00C3762A" w:rsidRPr="00C3762A" w:rsidRDefault="00C3762A" w:rsidP="00C3762A">
      <w:pPr>
        <w:ind w:left="1134" w:right="907" w:firstLine="0"/>
        <w:jc w:val="both"/>
        <w:rPr>
          <w:rFonts w:eastAsia="Times New Roman" w:cs="Times New Roman"/>
          <w:color w:val="000000"/>
          <w:kern w:val="0"/>
          <w:sz w:val="28"/>
          <w:szCs w:val="28"/>
          <w:lang w:val="es-VE" w:eastAsia="es-ES_tradnl"/>
          <w14:ligatures w14:val="none"/>
        </w:rPr>
      </w:pPr>
      <w:r w:rsidRPr="00C3762A">
        <w:rPr>
          <w:rFonts w:eastAsia="Times New Roman" w:cs="Times New Roman"/>
          <w:b/>
          <w:bCs/>
          <w:i/>
          <w:iCs/>
          <w:color w:val="000000"/>
          <w:kern w:val="0"/>
          <w:szCs w:val="24"/>
          <w:lang w:val="es-VE" w:eastAsia="es-ES_tradnl"/>
          <w14:ligatures w14:val="none"/>
        </w:rPr>
        <w:t>PRIMERO</w:t>
      </w:r>
      <w:r w:rsidRPr="00C3762A">
        <w:rPr>
          <w:rFonts w:eastAsia="Times New Roman" w:cs="Times New Roman"/>
          <w:i/>
          <w:iCs/>
          <w:color w:val="000000"/>
          <w:kern w:val="0"/>
          <w:szCs w:val="24"/>
          <w:lang w:val="es-VE" w:eastAsia="es-ES_tradnl"/>
          <w14:ligatures w14:val="none"/>
        </w:rPr>
        <w:t>: Queda Nulo el Acto Administrativo contenido en la Resolución de Imposición de Sanción por Incumplimiento de Deberes Formales identificada con el N° GEB/SAF/SATSATEEB/DD/GIF/DV/ 002/2022, por las razones de hecho y de derecho establecidas en la presente decisión.</w:t>
      </w:r>
    </w:p>
    <w:p w14:paraId="5FC85CE6" w14:textId="77777777" w:rsidR="00C3762A" w:rsidRPr="00C3762A" w:rsidRDefault="00C3762A" w:rsidP="00C3762A">
      <w:pPr>
        <w:ind w:left="1134" w:right="907" w:firstLine="0"/>
        <w:jc w:val="both"/>
        <w:rPr>
          <w:rFonts w:eastAsia="Times New Roman" w:cs="Times New Roman"/>
          <w:color w:val="000000"/>
          <w:kern w:val="0"/>
          <w:sz w:val="28"/>
          <w:szCs w:val="28"/>
          <w:lang w:val="es-VE" w:eastAsia="es-ES_tradnl"/>
          <w14:ligatures w14:val="none"/>
        </w:rPr>
      </w:pPr>
      <w:r w:rsidRPr="00C3762A">
        <w:rPr>
          <w:rFonts w:eastAsia="Times New Roman" w:cs="Times New Roman"/>
          <w:b/>
          <w:bCs/>
          <w:i/>
          <w:iCs/>
          <w:color w:val="000000"/>
          <w:kern w:val="0"/>
          <w:szCs w:val="24"/>
          <w:lang w:val="es-VE" w:eastAsia="es-ES_tradnl"/>
          <w14:ligatures w14:val="none"/>
        </w:rPr>
        <w:t>SEGUNDO</w:t>
      </w:r>
      <w:r w:rsidRPr="00C3762A">
        <w:rPr>
          <w:rFonts w:eastAsia="Times New Roman" w:cs="Times New Roman"/>
          <w:i/>
          <w:iCs/>
          <w:color w:val="000000"/>
          <w:kern w:val="0"/>
          <w:szCs w:val="24"/>
          <w:lang w:val="es-VE" w:eastAsia="es-ES_tradnl"/>
          <w14:ligatures w14:val="none"/>
        </w:rPr>
        <w:t>: Se desestima el alegato presentado por la representación de la contribuyente, referente a la Inmotivación del Acto Administrativo contenido en la Resolución de Imposición de Sanción por Incumplimiento de Deberes Formales identificada con el N GEB SAF SAT/SATEEB/DD/GIF/DV/002/2022. </w:t>
      </w:r>
    </w:p>
    <w:p w14:paraId="24A0C484" w14:textId="77777777" w:rsidR="00C3762A" w:rsidRPr="00C3762A" w:rsidRDefault="00C3762A" w:rsidP="00C3762A">
      <w:pPr>
        <w:ind w:left="1134" w:right="907" w:firstLine="0"/>
        <w:jc w:val="both"/>
        <w:rPr>
          <w:rFonts w:eastAsia="Times New Roman" w:cs="Times New Roman"/>
          <w:color w:val="000000"/>
          <w:kern w:val="0"/>
          <w:sz w:val="28"/>
          <w:szCs w:val="28"/>
          <w:lang w:val="es-VE" w:eastAsia="es-ES_tradnl"/>
          <w14:ligatures w14:val="none"/>
        </w:rPr>
      </w:pPr>
      <w:r w:rsidRPr="00C3762A">
        <w:rPr>
          <w:rFonts w:eastAsia="Times New Roman" w:cs="Times New Roman"/>
          <w:b/>
          <w:bCs/>
          <w:i/>
          <w:iCs/>
          <w:color w:val="000000"/>
          <w:kern w:val="0"/>
          <w:szCs w:val="24"/>
          <w:lang w:val="es-VE" w:eastAsia="es-ES_tradnl"/>
          <w14:ligatures w14:val="none"/>
        </w:rPr>
        <w:t>TERCERO</w:t>
      </w:r>
      <w:r w:rsidRPr="00C3762A">
        <w:rPr>
          <w:rFonts w:eastAsia="Times New Roman" w:cs="Times New Roman"/>
          <w:i/>
          <w:iCs/>
          <w:color w:val="000000"/>
          <w:kern w:val="0"/>
          <w:szCs w:val="24"/>
          <w:lang w:val="es-VE" w:eastAsia="es-ES_tradnl"/>
          <w14:ligatures w14:val="none"/>
        </w:rPr>
        <w:t xml:space="preserve">: En ejercicio del principio de Control de Legalidad, se ordena a la Administración Tributaria Estadal realizar el </w:t>
      </w:r>
      <w:r w:rsidRPr="00C3762A">
        <w:rPr>
          <w:rFonts w:eastAsia="Times New Roman" w:cs="Times New Roman"/>
          <w:i/>
          <w:iCs/>
          <w:color w:val="000000"/>
          <w:kern w:val="0"/>
          <w:szCs w:val="24"/>
          <w:lang w:val="es-VE" w:eastAsia="es-ES_tradnl"/>
          <w14:ligatures w14:val="none"/>
        </w:rPr>
        <w:lastRenderedPageBreak/>
        <w:t>correspondiente procedimiento en los términos expuestos en la presente decisión. </w:t>
      </w:r>
    </w:p>
    <w:p w14:paraId="469FB114" w14:textId="77777777" w:rsidR="00C3762A" w:rsidRPr="00C3762A" w:rsidRDefault="00C3762A" w:rsidP="00C3762A">
      <w:pPr>
        <w:ind w:left="1134" w:right="907" w:firstLine="0"/>
        <w:jc w:val="both"/>
        <w:rPr>
          <w:rFonts w:eastAsia="Times New Roman" w:cs="Times New Roman"/>
          <w:color w:val="000000"/>
          <w:kern w:val="0"/>
          <w:sz w:val="28"/>
          <w:szCs w:val="28"/>
          <w:lang w:val="es-VE" w:eastAsia="es-ES_tradnl"/>
          <w14:ligatures w14:val="none"/>
        </w:rPr>
      </w:pPr>
      <w:r w:rsidRPr="00C3762A">
        <w:rPr>
          <w:rFonts w:eastAsia="Times New Roman" w:cs="Times New Roman"/>
          <w:b/>
          <w:bCs/>
          <w:i/>
          <w:iCs/>
          <w:color w:val="000000"/>
          <w:kern w:val="0"/>
          <w:szCs w:val="24"/>
          <w:lang w:val="es-VE" w:eastAsia="es-ES_tradnl"/>
          <w14:ligatures w14:val="none"/>
        </w:rPr>
        <w:t>CUARTO:</w:t>
      </w:r>
      <w:r w:rsidRPr="00C3762A">
        <w:rPr>
          <w:rFonts w:eastAsia="Times New Roman" w:cs="Times New Roman"/>
          <w:i/>
          <w:iCs/>
          <w:color w:val="000000"/>
          <w:kern w:val="0"/>
          <w:szCs w:val="24"/>
          <w:lang w:val="es-VE" w:eastAsia="es-ES_tradnl"/>
          <w14:ligatures w14:val="none"/>
        </w:rPr>
        <w:t> Se </w:t>
      </w:r>
      <w:r w:rsidRPr="00C3762A">
        <w:rPr>
          <w:rFonts w:eastAsia="Times New Roman" w:cs="Times New Roman"/>
          <w:b/>
          <w:bCs/>
          <w:i/>
          <w:iCs/>
          <w:color w:val="000000"/>
          <w:kern w:val="0"/>
          <w:szCs w:val="24"/>
          <w:lang w:val="es-VE" w:eastAsia="es-ES_tradnl"/>
          <w14:ligatures w14:val="none"/>
        </w:rPr>
        <w:t>EXIME</w:t>
      </w:r>
      <w:r w:rsidRPr="00C3762A">
        <w:rPr>
          <w:rFonts w:eastAsia="Times New Roman" w:cs="Times New Roman"/>
          <w:i/>
          <w:iCs/>
          <w:color w:val="000000"/>
          <w:kern w:val="0"/>
          <w:szCs w:val="24"/>
          <w:lang w:val="es-VE" w:eastAsia="es-ES_tradnl"/>
          <w14:ligatures w14:val="none"/>
        </w:rPr>
        <w:t> de la condenatoria en costas por cuanto ninguna de las partes fue vencida totalmente en el proceso. </w:t>
      </w:r>
    </w:p>
    <w:p w14:paraId="77591DC9" w14:textId="77777777" w:rsidR="00C3762A" w:rsidRPr="00C3762A" w:rsidRDefault="00C3762A" w:rsidP="00C3762A">
      <w:pPr>
        <w:ind w:left="1134" w:right="907" w:firstLine="0"/>
        <w:jc w:val="both"/>
        <w:rPr>
          <w:rFonts w:eastAsia="Times New Roman" w:cs="Times New Roman"/>
          <w:color w:val="000000"/>
          <w:kern w:val="0"/>
          <w:sz w:val="28"/>
          <w:szCs w:val="28"/>
          <w:lang w:val="es-VE" w:eastAsia="es-ES_tradnl"/>
          <w14:ligatures w14:val="none"/>
        </w:rPr>
      </w:pPr>
      <w:r w:rsidRPr="00C3762A">
        <w:rPr>
          <w:rFonts w:eastAsia="Times New Roman" w:cs="Times New Roman"/>
          <w:b/>
          <w:bCs/>
          <w:i/>
          <w:iCs/>
          <w:color w:val="000000"/>
          <w:kern w:val="0"/>
          <w:szCs w:val="24"/>
          <w:lang w:val="es-VE" w:eastAsia="es-ES_tradnl"/>
          <w14:ligatures w14:val="none"/>
        </w:rPr>
        <w:t>QUINTO</w:t>
      </w:r>
      <w:r w:rsidRPr="00C3762A">
        <w:rPr>
          <w:rFonts w:eastAsia="Times New Roman" w:cs="Times New Roman"/>
          <w:i/>
          <w:iCs/>
          <w:color w:val="000000"/>
          <w:kern w:val="0"/>
          <w:szCs w:val="24"/>
          <w:lang w:val="es-VE" w:eastAsia="es-ES_tradnl"/>
          <w14:ligatures w14:val="none"/>
        </w:rPr>
        <w:t>:- Se advierte a las partes que, de conformidad con el único aparte del artículo 285 del Código Orgánico Tributario y el criterio sostenido por nuestro Máximo Tribunal de Justicia (Sentencia N° 991 de la Sala Político-Administrativa de fecha 2 de julio de 2003. con ponencia del Magistrado Levis Ignacio Zerpa, caso Tracto Caribe, CA.. Exp N 2002-835), esta sentencia admite apelación por cuanto el quantum de la causa excede de quinientas (500) unidades tributarias. </w:t>
      </w:r>
    </w:p>
    <w:p w14:paraId="30D899D6" w14:textId="77777777" w:rsidR="00C3762A" w:rsidRPr="00C3762A" w:rsidRDefault="00C3762A" w:rsidP="00C3762A">
      <w:pPr>
        <w:ind w:left="1134" w:right="907" w:firstLine="0"/>
        <w:jc w:val="both"/>
        <w:rPr>
          <w:rFonts w:eastAsia="Times New Roman" w:cs="Times New Roman"/>
          <w:color w:val="000000"/>
          <w:kern w:val="0"/>
          <w:sz w:val="28"/>
          <w:szCs w:val="28"/>
          <w:lang w:val="es-VE" w:eastAsia="es-ES_tradnl"/>
          <w14:ligatures w14:val="none"/>
        </w:rPr>
      </w:pPr>
      <w:r w:rsidRPr="00C3762A">
        <w:rPr>
          <w:rFonts w:eastAsia="Times New Roman" w:cs="Times New Roman"/>
          <w:b/>
          <w:bCs/>
          <w:i/>
          <w:iCs/>
          <w:color w:val="000000"/>
          <w:kern w:val="0"/>
          <w:szCs w:val="24"/>
          <w:lang w:val="es-VE" w:eastAsia="es-ES_tradnl"/>
          <w14:ligatures w14:val="none"/>
        </w:rPr>
        <w:t>SEXTO:</w:t>
      </w:r>
      <w:r w:rsidRPr="00C3762A">
        <w:rPr>
          <w:rFonts w:eastAsia="Times New Roman" w:cs="Times New Roman"/>
          <w:i/>
          <w:iCs/>
          <w:color w:val="000000"/>
          <w:kern w:val="0"/>
          <w:szCs w:val="24"/>
          <w:lang w:val="es-VE" w:eastAsia="es-ES_tradnl"/>
          <w14:ligatures w14:val="none"/>
        </w:rPr>
        <w:t> Se ORDENA la notificación de los ciudadanos Procuradora General del Estado Bolívar y Fiscal General de la República Bolivariana de Venezuela. Líbrense boletas </w:t>
      </w:r>
      <w:r w:rsidRPr="00C3762A">
        <w:rPr>
          <w:rFonts w:eastAsia="Times New Roman" w:cs="Times New Roman"/>
          <w:color w:val="000000"/>
          <w:kern w:val="0"/>
          <w:szCs w:val="24"/>
          <w:lang w:eastAsia="es-ES_tradnl"/>
          <w14:ligatures w14:val="none"/>
        </w:rPr>
        <w:t>(…)”. (Resaltado de la fuente).</w:t>
      </w:r>
    </w:p>
    <w:p w14:paraId="00927D4A" w14:textId="77777777" w:rsidR="00C3762A" w:rsidRPr="00C3762A" w:rsidRDefault="00C3762A" w:rsidP="00C3762A">
      <w:pPr>
        <w:spacing w:before="0" w:after="0"/>
        <w:ind w:firstLine="0"/>
        <w:jc w:val="center"/>
        <w:rPr>
          <w:rFonts w:eastAsia="Times New Roman" w:cs="Times New Roman"/>
          <w:color w:val="000000"/>
          <w:kern w:val="0"/>
          <w:sz w:val="28"/>
          <w:szCs w:val="28"/>
          <w:lang w:val="es-VE" w:eastAsia="es-ES_tradnl"/>
          <w14:ligatures w14:val="none"/>
        </w:rPr>
      </w:pPr>
      <w:r w:rsidRPr="00C3762A">
        <w:rPr>
          <w:rFonts w:eastAsia="Times New Roman" w:cs="Times New Roman"/>
          <w:b/>
          <w:bCs/>
          <w:color w:val="000000"/>
          <w:kern w:val="0"/>
          <w:szCs w:val="24"/>
          <w:lang w:val="es-VE" w:eastAsia="es-ES_tradnl"/>
          <w14:ligatures w14:val="none"/>
        </w:rPr>
        <w:t> </w:t>
      </w:r>
    </w:p>
    <w:p w14:paraId="0EDD2B7F" w14:textId="77777777" w:rsidR="00C3762A" w:rsidRPr="00C3762A" w:rsidRDefault="00C3762A" w:rsidP="00C3762A">
      <w:pPr>
        <w:spacing w:before="0" w:after="0"/>
        <w:ind w:firstLine="0"/>
        <w:jc w:val="center"/>
        <w:rPr>
          <w:rFonts w:eastAsia="Times New Roman" w:cs="Times New Roman"/>
          <w:color w:val="000000"/>
          <w:kern w:val="0"/>
          <w:sz w:val="28"/>
          <w:szCs w:val="28"/>
          <w:lang w:val="es-VE" w:eastAsia="es-ES_tradnl"/>
          <w14:ligatures w14:val="none"/>
        </w:rPr>
      </w:pPr>
      <w:r w:rsidRPr="00C3762A">
        <w:rPr>
          <w:rFonts w:eastAsia="Times New Roman" w:cs="Times New Roman"/>
          <w:b/>
          <w:bCs/>
          <w:color w:val="000000"/>
          <w:kern w:val="0"/>
          <w:szCs w:val="24"/>
          <w:lang w:val="es-VE" w:eastAsia="es-ES_tradnl"/>
          <w14:ligatures w14:val="none"/>
        </w:rPr>
        <w:t> </w:t>
      </w:r>
    </w:p>
    <w:p w14:paraId="55DA4FAC" w14:textId="77777777" w:rsidR="00C3762A" w:rsidRPr="00C3762A" w:rsidRDefault="00C3762A" w:rsidP="00C3762A">
      <w:pPr>
        <w:spacing w:before="0" w:after="0"/>
        <w:ind w:firstLine="0"/>
        <w:jc w:val="center"/>
        <w:rPr>
          <w:rFonts w:eastAsia="Times New Roman" w:cs="Times New Roman"/>
          <w:color w:val="000000"/>
          <w:kern w:val="0"/>
          <w:sz w:val="28"/>
          <w:szCs w:val="28"/>
          <w:lang w:val="es-VE" w:eastAsia="es-ES_tradnl"/>
          <w14:ligatures w14:val="none"/>
        </w:rPr>
      </w:pPr>
      <w:r w:rsidRPr="00C3762A">
        <w:rPr>
          <w:rFonts w:eastAsia="Times New Roman" w:cs="Times New Roman"/>
          <w:b/>
          <w:bCs/>
          <w:color w:val="000000"/>
          <w:kern w:val="0"/>
          <w:szCs w:val="24"/>
          <w:lang w:val="es-VE" w:eastAsia="es-ES_tradnl"/>
          <w14:ligatures w14:val="none"/>
        </w:rPr>
        <w:t>III</w:t>
      </w:r>
    </w:p>
    <w:p w14:paraId="332F6917" w14:textId="77777777" w:rsidR="00C3762A" w:rsidRPr="00C3762A" w:rsidRDefault="00C3762A" w:rsidP="00C3762A">
      <w:pPr>
        <w:spacing w:before="0" w:after="0"/>
        <w:ind w:firstLine="0"/>
        <w:jc w:val="center"/>
        <w:rPr>
          <w:rFonts w:eastAsia="Times New Roman" w:cs="Times New Roman"/>
          <w:color w:val="000000"/>
          <w:kern w:val="0"/>
          <w:sz w:val="28"/>
          <w:szCs w:val="28"/>
          <w:lang w:val="es-VE" w:eastAsia="es-ES_tradnl"/>
          <w14:ligatures w14:val="none"/>
        </w:rPr>
      </w:pPr>
      <w:r w:rsidRPr="00C3762A">
        <w:rPr>
          <w:rFonts w:eastAsia="Times New Roman" w:cs="Times New Roman"/>
          <w:b/>
          <w:bCs/>
          <w:color w:val="000000"/>
          <w:kern w:val="0"/>
          <w:szCs w:val="24"/>
          <w:lang w:val="es-VE" w:eastAsia="es-ES_tradnl"/>
          <w14:ligatures w14:val="none"/>
        </w:rPr>
        <w:t>CONSIDERACIONES PARA DECIDIR</w:t>
      </w:r>
    </w:p>
    <w:p w14:paraId="3CDF734B" w14:textId="77777777" w:rsidR="00C3762A" w:rsidRPr="00C3762A" w:rsidRDefault="00C3762A" w:rsidP="00C3762A">
      <w:pPr>
        <w:spacing w:before="0" w:after="0"/>
        <w:ind w:firstLine="0"/>
        <w:jc w:val="center"/>
        <w:rPr>
          <w:rFonts w:eastAsia="Times New Roman" w:cs="Times New Roman"/>
          <w:color w:val="000000"/>
          <w:kern w:val="0"/>
          <w:sz w:val="28"/>
          <w:szCs w:val="28"/>
          <w:lang w:val="es-VE" w:eastAsia="es-ES_tradnl"/>
          <w14:ligatures w14:val="none"/>
        </w:rPr>
      </w:pPr>
      <w:r w:rsidRPr="00C3762A">
        <w:rPr>
          <w:rFonts w:eastAsia="Times New Roman" w:cs="Times New Roman"/>
          <w:b/>
          <w:bCs/>
          <w:color w:val="000000"/>
          <w:kern w:val="0"/>
          <w:szCs w:val="24"/>
          <w:lang w:val="es-VE" w:eastAsia="es-ES_tradnl"/>
          <w14:ligatures w14:val="none"/>
        </w:rPr>
        <w:t> </w:t>
      </w:r>
    </w:p>
    <w:p w14:paraId="6356D937" w14:textId="77777777" w:rsidR="00C3762A" w:rsidRPr="00C3762A" w:rsidRDefault="00C3762A" w:rsidP="00C3762A">
      <w:pPr>
        <w:spacing w:before="0" w:after="0"/>
        <w:ind w:firstLine="0"/>
        <w:jc w:val="center"/>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val="es-VE" w:eastAsia="es-ES_tradnl"/>
          <w14:ligatures w14:val="none"/>
        </w:rPr>
        <w:t> </w:t>
      </w:r>
    </w:p>
    <w:p w14:paraId="15D7EC13" w14:textId="77777777" w:rsidR="00C3762A" w:rsidRPr="00C3762A" w:rsidRDefault="00C3762A" w:rsidP="00C3762A">
      <w:pPr>
        <w:spacing w:before="0" w:after="0" w:line="420" w:lineRule="atLeast"/>
        <w:ind w:firstLine="680"/>
        <w:jc w:val="both"/>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eastAsia="es-ES_tradnl"/>
          <w14:ligatures w14:val="none"/>
        </w:rPr>
        <w:t>Correspondería a esta Sala Político-Administrativa decidir el recurso de apelación interpuesto por la representación judicial del Procuraduría General del Estado Bolívar, por Órgano de la Gobernación del Estado Bolívar y su ente adscrito el Servicio Autónomo de Administración Tributaria  del Estado Bolívar, contra la sentencia definitiva   Nro. </w:t>
      </w:r>
      <w:r w:rsidRPr="00C3762A">
        <w:rPr>
          <w:rFonts w:eastAsia="Times New Roman" w:cs="Times New Roman"/>
          <w:color w:val="000000"/>
          <w:spacing w:val="-10"/>
          <w:kern w:val="0"/>
          <w:szCs w:val="24"/>
          <w:lang w:val="es-ES_tradnl" w:eastAsia="es-ES_tradnl"/>
          <w14:ligatures w14:val="none"/>
        </w:rPr>
        <w:t>PJ0662023000013,</w:t>
      </w:r>
      <w:r w:rsidRPr="00C3762A">
        <w:rPr>
          <w:rFonts w:eastAsia="Times New Roman" w:cs="Times New Roman"/>
          <w:color w:val="000000"/>
          <w:kern w:val="0"/>
          <w:szCs w:val="24"/>
          <w:lang w:eastAsia="es-ES_tradnl"/>
          <w14:ligatures w14:val="none"/>
        </w:rPr>
        <w:t> dictada por el Tribunal Superior de lo Contencioso Tributario de la Región Guayana el 16 de marzo de 2023, que declaró parcialmente con lugar el recurso contencioso tributario interpuesto en fecha 21 de abril de 2022 </w:t>
      </w:r>
      <w:r w:rsidRPr="00C3762A">
        <w:rPr>
          <w:rFonts w:eastAsia="Times New Roman" w:cs="Times New Roman"/>
          <w:color w:val="000000"/>
          <w:kern w:val="0"/>
          <w:szCs w:val="24"/>
          <w:lang w:val="es-UY" w:eastAsia="es-ES_tradnl"/>
          <w14:ligatures w14:val="none"/>
        </w:rPr>
        <w:t>por la sociedad mercantil </w:t>
      </w:r>
      <w:r w:rsidRPr="00C3762A">
        <w:rPr>
          <w:rFonts w:eastAsia="Times New Roman" w:cs="Times New Roman"/>
          <w:color w:val="000000"/>
          <w:kern w:val="0"/>
          <w:szCs w:val="24"/>
          <w:lang w:eastAsia="es-ES_tradnl"/>
          <w14:ligatures w14:val="none"/>
        </w:rPr>
        <w:t>Licores la Orquídea, C.A.</w:t>
      </w:r>
    </w:p>
    <w:p w14:paraId="17884742" w14:textId="77777777" w:rsidR="00C3762A" w:rsidRPr="00C3762A" w:rsidRDefault="00C3762A" w:rsidP="00C3762A">
      <w:pPr>
        <w:spacing w:line="420" w:lineRule="atLeast"/>
        <w:ind w:firstLine="680"/>
        <w:jc w:val="both"/>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eastAsia="es-ES_tradnl"/>
          <w14:ligatures w14:val="none"/>
        </w:rPr>
        <w:t>Preliminarmente, debe esta Superioridad declarar </w:t>
      </w:r>
      <w:r w:rsidRPr="00C3762A">
        <w:rPr>
          <w:rFonts w:eastAsia="Times New Roman" w:cs="Times New Roman"/>
          <w:b/>
          <w:bCs/>
          <w:color w:val="000000"/>
          <w:kern w:val="0"/>
          <w:szCs w:val="24"/>
          <w:lang w:eastAsia="es-ES_tradnl"/>
          <w14:ligatures w14:val="none"/>
        </w:rPr>
        <w:t>firme </w:t>
      </w:r>
      <w:r w:rsidRPr="00C3762A">
        <w:rPr>
          <w:rFonts w:eastAsia="Times New Roman" w:cs="Times New Roman"/>
          <w:color w:val="000000"/>
          <w:kern w:val="0"/>
          <w:szCs w:val="24"/>
          <w:lang w:eastAsia="es-ES_tradnl"/>
          <w14:ligatures w14:val="none"/>
        </w:rPr>
        <w:t>por no haber sido objeto de impugnación por la contribuyente, ni desfavorecer los intereses del Fisco Estadal, la declaratoria del Tribunal de Instancia referido</w:t>
      </w:r>
      <w:r w:rsidRPr="00C3762A">
        <w:rPr>
          <w:rFonts w:eastAsia="Times New Roman" w:cs="Times New Roman"/>
          <w:i/>
          <w:iCs/>
          <w:color w:val="000000"/>
          <w:kern w:val="0"/>
          <w:szCs w:val="24"/>
          <w:lang w:eastAsia="es-ES_tradnl"/>
          <w14:ligatures w14:val="none"/>
        </w:rPr>
        <w:t> </w:t>
      </w:r>
      <w:proofErr w:type="gramStart"/>
      <w:r w:rsidRPr="00C3762A">
        <w:rPr>
          <w:rFonts w:eastAsia="Times New Roman" w:cs="Times New Roman"/>
          <w:color w:val="000000"/>
          <w:kern w:val="0"/>
          <w:szCs w:val="24"/>
          <w:lang w:eastAsia="es-ES_tradnl"/>
          <w14:ligatures w14:val="none"/>
        </w:rPr>
        <w:t>a“</w:t>
      </w:r>
      <w:proofErr w:type="gramEnd"/>
      <w:r w:rsidRPr="00C3762A">
        <w:rPr>
          <w:rFonts w:eastAsia="Times New Roman" w:cs="Times New Roman"/>
          <w:color w:val="000000"/>
          <w:kern w:val="0"/>
          <w:szCs w:val="24"/>
          <w:lang w:eastAsia="es-ES_tradnl"/>
          <w14:ligatures w14:val="none"/>
        </w:rPr>
        <w:t>(...) </w:t>
      </w:r>
      <w:r w:rsidRPr="00C3762A">
        <w:rPr>
          <w:rFonts w:eastAsia="Times New Roman" w:cs="Times New Roman"/>
          <w:i/>
          <w:iCs/>
          <w:color w:val="000000"/>
          <w:kern w:val="0"/>
          <w:szCs w:val="24"/>
          <w:lang w:eastAsia="es-ES_tradnl"/>
          <w14:ligatures w14:val="none"/>
        </w:rPr>
        <w:t xml:space="preserve">la improcedencia del vicio de </w:t>
      </w:r>
      <w:proofErr w:type="spellStart"/>
      <w:r w:rsidRPr="00C3762A">
        <w:rPr>
          <w:rFonts w:eastAsia="Times New Roman" w:cs="Times New Roman"/>
          <w:i/>
          <w:iCs/>
          <w:color w:val="000000"/>
          <w:kern w:val="0"/>
          <w:szCs w:val="24"/>
          <w:lang w:eastAsia="es-ES_tradnl"/>
          <w14:ligatures w14:val="none"/>
        </w:rPr>
        <w:t>inmotivación</w:t>
      </w:r>
      <w:proofErr w:type="spellEnd"/>
      <w:r w:rsidRPr="00C3762A">
        <w:rPr>
          <w:rFonts w:eastAsia="Times New Roman" w:cs="Times New Roman"/>
          <w:i/>
          <w:iCs/>
          <w:color w:val="000000"/>
          <w:kern w:val="0"/>
          <w:szCs w:val="24"/>
          <w:lang w:eastAsia="es-ES_tradnl"/>
          <w14:ligatures w14:val="none"/>
        </w:rPr>
        <w:t xml:space="preserve"> del Acto Administrativo contenido en la resolución de Imposición de Sanción por Incumplimiento de Deberes Formales identificada con el N° GEB/SAF/ SAT/SATEEB/DD/GIF/DV/002/2022 </w:t>
      </w:r>
      <w:r w:rsidRPr="00C3762A">
        <w:rPr>
          <w:rFonts w:eastAsia="Times New Roman" w:cs="Times New Roman"/>
          <w:color w:val="000000"/>
          <w:kern w:val="0"/>
          <w:szCs w:val="24"/>
          <w:lang w:eastAsia="es-ES_tradnl"/>
          <w14:ligatures w14:val="none"/>
        </w:rPr>
        <w:t>(...)”. </w:t>
      </w:r>
      <w:r w:rsidRPr="00C3762A">
        <w:rPr>
          <w:rFonts w:eastAsia="Times New Roman" w:cs="Times New Roman"/>
          <w:b/>
          <w:bCs/>
          <w:color w:val="000000"/>
          <w:kern w:val="0"/>
          <w:szCs w:val="24"/>
          <w:lang w:eastAsia="es-ES_tradnl"/>
          <w14:ligatures w14:val="none"/>
        </w:rPr>
        <w:t>Así se determina</w:t>
      </w:r>
      <w:r w:rsidRPr="00C3762A">
        <w:rPr>
          <w:rFonts w:eastAsia="Times New Roman" w:cs="Times New Roman"/>
          <w:color w:val="000000"/>
          <w:kern w:val="0"/>
          <w:szCs w:val="24"/>
          <w:lang w:eastAsia="es-ES_tradnl"/>
          <w14:ligatures w14:val="none"/>
        </w:rPr>
        <w:t>.</w:t>
      </w:r>
    </w:p>
    <w:p w14:paraId="622264D9" w14:textId="77777777" w:rsidR="00C3762A" w:rsidRPr="00C3762A" w:rsidRDefault="00C3762A" w:rsidP="00C3762A">
      <w:pPr>
        <w:spacing w:line="420" w:lineRule="atLeast"/>
        <w:ind w:firstLine="680"/>
        <w:jc w:val="both"/>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eastAsia="es-ES_tradnl"/>
          <w14:ligatures w14:val="none"/>
        </w:rPr>
        <w:lastRenderedPageBreak/>
        <w:t>No obstante, esta Alzada antes de emitir su pronunciamiento estima necesario verificar si, en el caso objeto de estudio, ha operado el desistimiento tácito al que se refiere el artículo 92 de la Ley Orgánica de la Jurisdicción Contencioso Administrativa, cuyo tenor es el siguiente:</w:t>
      </w:r>
    </w:p>
    <w:p w14:paraId="5C83C9AC" w14:textId="77777777" w:rsidR="00C3762A" w:rsidRPr="00C3762A" w:rsidRDefault="00C3762A" w:rsidP="00C3762A">
      <w:pPr>
        <w:ind w:left="1134" w:right="907" w:firstLine="0"/>
        <w:jc w:val="both"/>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eastAsia="es-ES_tradnl"/>
          <w14:ligatures w14:val="none"/>
        </w:rPr>
        <w:t>“</w:t>
      </w:r>
      <w:r w:rsidRPr="00C3762A">
        <w:rPr>
          <w:rFonts w:eastAsia="Times New Roman" w:cs="Times New Roman"/>
          <w:b/>
          <w:bCs/>
          <w:i/>
          <w:iCs/>
          <w:color w:val="000000"/>
          <w:kern w:val="0"/>
          <w:szCs w:val="24"/>
          <w:lang w:eastAsia="es-ES_tradnl"/>
          <w14:ligatures w14:val="none"/>
        </w:rPr>
        <w:t>Artículo 92.- </w:t>
      </w:r>
      <w:r w:rsidRPr="00C3762A">
        <w:rPr>
          <w:rFonts w:eastAsia="Times New Roman" w:cs="Times New Roman"/>
          <w:i/>
          <w:iCs/>
          <w:color w:val="000000"/>
          <w:kern w:val="0"/>
          <w:szCs w:val="24"/>
          <w:lang w:eastAsia="es-ES_tradnl"/>
          <w14:ligatures w14:val="none"/>
        </w:rPr>
        <w:t>Dentro de los diez días de despacho siguientes a la recepción del expediente, la parte apelante deberá presentar un escrito que contenga los fundamentos de hecho y de derecho de la apelación, vencido este lapso, se abrirá un lapso de cinco días de despacho para que la otra parte dé contestación a la apelación.</w:t>
      </w:r>
    </w:p>
    <w:p w14:paraId="46DCBA74" w14:textId="77777777" w:rsidR="00C3762A" w:rsidRPr="00C3762A" w:rsidRDefault="00C3762A" w:rsidP="00C3762A">
      <w:pPr>
        <w:ind w:left="1134" w:right="907" w:firstLine="0"/>
        <w:jc w:val="both"/>
        <w:rPr>
          <w:rFonts w:eastAsia="Times New Roman" w:cs="Times New Roman"/>
          <w:color w:val="000000"/>
          <w:kern w:val="0"/>
          <w:sz w:val="28"/>
          <w:szCs w:val="28"/>
          <w:lang w:val="es-VE" w:eastAsia="es-ES_tradnl"/>
          <w14:ligatures w14:val="none"/>
        </w:rPr>
      </w:pPr>
      <w:r w:rsidRPr="00C3762A">
        <w:rPr>
          <w:rFonts w:eastAsia="Times New Roman" w:cs="Times New Roman"/>
          <w:b/>
          <w:bCs/>
          <w:i/>
          <w:iCs/>
          <w:color w:val="000000"/>
          <w:kern w:val="0"/>
          <w:szCs w:val="24"/>
          <w:lang w:eastAsia="es-ES_tradnl"/>
          <w14:ligatures w14:val="none"/>
        </w:rPr>
        <w:t>La apelación se considerará desistida por falta de fundamentación</w:t>
      </w:r>
      <w:r w:rsidRPr="00C3762A">
        <w:rPr>
          <w:rFonts w:eastAsia="Times New Roman" w:cs="Times New Roman"/>
          <w:color w:val="000000"/>
          <w:kern w:val="0"/>
          <w:szCs w:val="24"/>
          <w:lang w:eastAsia="es-ES_tradnl"/>
          <w14:ligatures w14:val="none"/>
        </w:rPr>
        <w:t>”. (Destacado de la Sala).</w:t>
      </w:r>
    </w:p>
    <w:p w14:paraId="1CE9CE5B" w14:textId="77777777" w:rsidR="00C3762A" w:rsidRPr="00C3762A" w:rsidRDefault="00C3762A" w:rsidP="00C3762A">
      <w:pPr>
        <w:spacing w:line="420" w:lineRule="atLeast"/>
        <w:ind w:firstLine="680"/>
        <w:jc w:val="both"/>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eastAsia="es-ES_tradnl"/>
          <w14:ligatures w14:val="none"/>
        </w:rPr>
        <w:t>La citada disposición establece la carga procesal para la parte apelante de presentar, dentro de los diez (10) días de despacho siguientes a la recepción del expediente en la Alzada, un escrito en el que se expongan las razones de hecho y de derecho en las que fundamenta su apelación. De igual forma impone como consecuencia jurídica a la falta de comparecencia de la parte apelante, el </w:t>
      </w:r>
      <w:r w:rsidRPr="00C3762A">
        <w:rPr>
          <w:rFonts w:eastAsia="Times New Roman" w:cs="Times New Roman"/>
          <w:b/>
          <w:bCs/>
          <w:i/>
          <w:iCs/>
          <w:color w:val="000000"/>
          <w:kern w:val="0"/>
          <w:szCs w:val="24"/>
          <w:lang w:eastAsia="es-ES_tradnl"/>
          <w14:ligatures w14:val="none"/>
        </w:rPr>
        <w:t>desistimiento tácito</w:t>
      </w:r>
      <w:r w:rsidRPr="00C3762A">
        <w:rPr>
          <w:rFonts w:eastAsia="Times New Roman" w:cs="Times New Roman"/>
          <w:color w:val="000000"/>
          <w:kern w:val="0"/>
          <w:szCs w:val="24"/>
          <w:lang w:eastAsia="es-ES_tradnl"/>
          <w14:ligatures w14:val="none"/>
        </w:rPr>
        <w:t> del recurso.</w:t>
      </w:r>
    </w:p>
    <w:p w14:paraId="509E4735" w14:textId="77777777" w:rsidR="00C3762A" w:rsidRPr="00C3762A" w:rsidRDefault="00C3762A" w:rsidP="00C3762A">
      <w:pPr>
        <w:spacing w:line="420" w:lineRule="atLeast"/>
        <w:ind w:firstLine="680"/>
        <w:jc w:val="both"/>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eastAsia="es-ES_tradnl"/>
          <w14:ligatures w14:val="none"/>
        </w:rPr>
        <w:t xml:space="preserve">Expuesto lo anterior, este Alto Tribunal verifica en el caso bajo examen </w:t>
      </w:r>
      <w:proofErr w:type="gramStart"/>
      <w:r w:rsidRPr="00C3762A">
        <w:rPr>
          <w:rFonts w:eastAsia="Times New Roman" w:cs="Times New Roman"/>
          <w:color w:val="000000"/>
          <w:kern w:val="0"/>
          <w:szCs w:val="24"/>
          <w:lang w:eastAsia="es-ES_tradnl"/>
          <w14:ligatures w14:val="none"/>
        </w:rPr>
        <w:t>que</w:t>
      </w:r>
      <w:proofErr w:type="gramEnd"/>
      <w:r w:rsidRPr="00C3762A">
        <w:rPr>
          <w:rFonts w:eastAsia="Times New Roman" w:cs="Times New Roman"/>
          <w:color w:val="000000"/>
          <w:kern w:val="0"/>
          <w:szCs w:val="24"/>
          <w:lang w:eastAsia="es-ES_tradnl"/>
          <w14:ligatures w14:val="none"/>
        </w:rPr>
        <w:t xml:space="preserve"> mediante auto del 26 de septiembre de 2023, la Secretaría de la Sala dejó constancia del cómputo que evidencia el vencimiento del lapso del cual disponía la parte apelante para cumplir con la obligación de consignar el escrito de fundamentación de la apelación.</w:t>
      </w:r>
    </w:p>
    <w:p w14:paraId="631EA766" w14:textId="77777777" w:rsidR="00C3762A" w:rsidRPr="00C3762A" w:rsidRDefault="00C3762A" w:rsidP="00C3762A">
      <w:pPr>
        <w:spacing w:line="420" w:lineRule="atLeast"/>
        <w:ind w:firstLine="680"/>
        <w:jc w:val="both"/>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eastAsia="es-ES_tradnl"/>
          <w14:ligatures w14:val="none"/>
        </w:rPr>
        <w:t>Así, quedó demostrado que desde la fecha en que se dio cuenta del ingreso del expediente 20 de julio de 2023 exclusive, hasta el 21 de septiembre de 2023, inclusive, oportunidad en la que venció el lapso establecido en el auto, transcurrieron “(…) </w:t>
      </w:r>
      <w:r w:rsidRPr="00C3762A">
        <w:rPr>
          <w:rFonts w:eastAsia="Times New Roman" w:cs="Times New Roman"/>
          <w:i/>
          <w:iCs/>
          <w:color w:val="000000"/>
          <w:kern w:val="0"/>
          <w:szCs w:val="24"/>
          <w:lang w:eastAsia="es-ES_tradnl"/>
          <w14:ligatures w14:val="none"/>
        </w:rPr>
        <w:t>seis (6) días continuos en razón del término de la distancia correspondientes a 21, 22, 23, 24, 25 y 26 de julio de 2023, y diez (10) días de despacho a saber: 27 de julio; 1, 2, 3, 8, 9 y 10 de agosto y 19, 20 y 21 de septiembre de 2023</w:t>
      </w:r>
      <w:r w:rsidRPr="00C3762A">
        <w:rPr>
          <w:rFonts w:eastAsia="Times New Roman" w:cs="Times New Roman"/>
          <w:color w:val="000000"/>
          <w:kern w:val="0"/>
          <w:szCs w:val="24"/>
          <w:lang w:eastAsia="es-ES_tradnl"/>
          <w14:ligatures w14:val="none"/>
        </w:rPr>
        <w:t> (…)”, sin que la representación judicial del ente exactor presentase su escrito de fundamentación de la apelación.</w:t>
      </w:r>
    </w:p>
    <w:p w14:paraId="2A08EA85" w14:textId="77777777" w:rsidR="00C3762A" w:rsidRPr="00C3762A" w:rsidRDefault="00C3762A" w:rsidP="00C3762A">
      <w:pPr>
        <w:spacing w:line="420" w:lineRule="atLeast"/>
        <w:ind w:firstLine="680"/>
        <w:jc w:val="both"/>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eastAsia="es-ES_tradnl"/>
          <w14:ligatures w14:val="none"/>
        </w:rPr>
        <w:t xml:space="preserve">Por esta razón, se estima que al no haber consignado la representación judicial del Estado Bolívar el mencionado escrito en el cual expresara los fundamentos para solicitar la revocatoria del pronunciamiento judicial controvertido por el referido medio de </w:t>
      </w:r>
      <w:r w:rsidRPr="00C3762A">
        <w:rPr>
          <w:rFonts w:eastAsia="Times New Roman" w:cs="Times New Roman"/>
          <w:color w:val="000000"/>
          <w:kern w:val="0"/>
          <w:szCs w:val="24"/>
          <w:lang w:eastAsia="es-ES_tradnl"/>
          <w14:ligatures w14:val="none"/>
        </w:rPr>
        <w:lastRenderedPageBreak/>
        <w:t>impugnación, este Máximo Tribunal no puede entrar a conocer y decidir la apelación incoada, sin que ello implique suplir la carga procesal correspondiente a la señalada parte.</w:t>
      </w:r>
    </w:p>
    <w:p w14:paraId="3319AA76" w14:textId="77777777" w:rsidR="00C3762A" w:rsidRPr="00C3762A" w:rsidRDefault="00C3762A" w:rsidP="00C3762A">
      <w:pPr>
        <w:spacing w:line="420" w:lineRule="atLeast"/>
        <w:ind w:firstLine="680"/>
        <w:jc w:val="both"/>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eastAsia="es-ES_tradnl"/>
          <w14:ligatures w14:val="none"/>
        </w:rPr>
        <w:t>Tal circunstancia obedece a las formalidades propias del recurso de apelación, para cuyo ejercicio se requiere a la parte recurrente, cumplir en el tiempo legal establecido, la presentación por escrito de las razones de hecho y derecho en las cuales funda su inconformidad con el pronunciamiento judicial recurrido, a tenor de lo dispuesto en el artículo 92 de la Ley Orgánica de la Jurisdicción Contencioso Administrativa. (</w:t>
      </w:r>
      <w:r w:rsidRPr="00C3762A">
        <w:rPr>
          <w:rFonts w:eastAsia="Times New Roman" w:cs="Times New Roman"/>
          <w:i/>
          <w:iCs/>
          <w:color w:val="000000"/>
          <w:kern w:val="0"/>
          <w:szCs w:val="24"/>
          <w:lang w:eastAsia="es-ES_tradnl"/>
          <w14:ligatures w14:val="none"/>
        </w:rPr>
        <w:t>Vid</w:t>
      </w:r>
      <w:r w:rsidRPr="00C3762A">
        <w:rPr>
          <w:rFonts w:eastAsia="Times New Roman" w:cs="Times New Roman"/>
          <w:color w:val="000000"/>
          <w:kern w:val="0"/>
          <w:szCs w:val="24"/>
          <w:lang w:eastAsia="es-ES_tradnl"/>
          <w14:ligatures w14:val="none"/>
        </w:rPr>
        <w:t xml:space="preserve">., sentencias de esta Sala </w:t>
      </w:r>
      <w:proofErr w:type="spellStart"/>
      <w:r w:rsidRPr="00C3762A">
        <w:rPr>
          <w:rFonts w:eastAsia="Times New Roman" w:cs="Times New Roman"/>
          <w:color w:val="000000"/>
          <w:kern w:val="0"/>
          <w:szCs w:val="24"/>
          <w:lang w:eastAsia="es-ES_tradnl"/>
          <w14:ligatures w14:val="none"/>
        </w:rPr>
        <w:t>Nros</w:t>
      </w:r>
      <w:proofErr w:type="spellEnd"/>
      <w:r w:rsidRPr="00C3762A">
        <w:rPr>
          <w:rFonts w:eastAsia="Times New Roman" w:cs="Times New Roman"/>
          <w:color w:val="000000"/>
          <w:kern w:val="0"/>
          <w:szCs w:val="24"/>
          <w:lang w:eastAsia="es-ES_tradnl"/>
          <w14:ligatures w14:val="none"/>
        </w:rPr>
        <w:t>. 188 y 191, ambas de fecha 26 de febrero de 2013, casos: </w:t>
      </w:r>
      <w:r w:rsidRPr="00C3762A">
        <w:rPr>
          <w:rFonts w:eastAsia="Times New Roman" w:cs="Times New Roman"/>
          <w:i/>
          <w:iCs/>
          <w:color w:val="000000"/>
          <w:kern w:val="0"/>
          <w:szCs w:val="24"/>
          <w:lang w:eastAsia="es-ES_tradnl"/>
          <w14:ligatures w14:val="none"/>
        </w:rPr>
        <w:t>M.G. Motores Valencia, C.A. </w:t>
      </w:r>
      <w:r w:rsidRPr="00C3762A">
        <w:rPr>
          <w:rFonts w:eastAsia="Times New Roman" w:cs="Times New Roman"/>
          <w:color w:val="000000"/>
          <w:kern w:val="0"/>
          <w:szCs w:val="24"/>
          <w:lang w:eastAsia="es-ES_tradnl"/>
          <w14:ligatures w14:val="none"/>
        </w:rPr>
        <w:t>e </w:t>
      </w:r>
      <w:r w:rsidRPr="00C3762A">
        <w:rPr>
          <w:rFonts w:eastAsia="Times New Roman" w:cs="Times New Roman"/>
          <w:i/>
          <w:iCs/>
          <w:color w:val="000000"/>
          <w:kern w:val="0"/>
          <w:szCs w:val="24"/>
          <w:lang w:eastAsia="es-ES_tradnl"/>
          <w14:ligatures w14:val="none"/>
        </w:rPr>
        <w:t xml:space="preserve">Inversiones </w:t>
      </w:r>
      <w:proofErr w:type="spellStart"/>
      <w:r w:rsidRPr="00C3762A">
        <w:rPr>
          <w:rFonts w:eastAsia="Times New Roman" w:cs="Times New Roman"/>
          <w:i/>
          <w:iCs/>
          <w:color w:val="000000"/>
          <w:kern w:val="0"/>
          <w:szCs w:val="24"/>
          <w:lang w:eastAsia="es-ES_tradnl"/>
          <w14:ligatures w14:val="none"/>
        </w:rPr>
        <w:t>Keopei</w:t>
      </w:r>
      <w:proofErr w:type="spellEnd"/>
      <w:r w:rsidRPr="00C3762A">
        <w:rPr>
          <w:rFonts w:eastAsia="Times New Roman" w:cs="Times New Roman"/>
          <w:i/>
          <w:iCs/>
          <w:color w:val="000000"/>
          <w:kern w:val="0"/>
          <w:szCs w:val="24"/>
          <w:lang w:eastAsia="es-ES_tradnl"/>
          <w14:ligatures w14:val="none"/>
        </w:rPr>
        <w:t>, C.A.</w:t>
      </w:r>
      <w:r w:rsidRPr="00C3762A">
        <w:rPr>
          <w:rFonts w:eastAsia="Times New Roman" w:cs="Times New Roman"/>
          <w:color w:val="000000"/>
          <w:kern w:val="0"/>
          <w:szCs w:val="24"/>
          <w:lang w:eastAsia="es-ES_tradnl"/>
          <w14:ligatures w14:val="none"/>
        </w:rPr>
        <w:t>, respectivamente y 01467 del 15 de diciembre de 2016, caso: </w:t>
      </w:r>
      <w:r w:rsidRPr="00C3762A">
        <w:rPr>
          <w:rFonts w:eastAsia="Times New Roman" w:cs="Times New Roman"/>
          <w:i/>
          <w:iCs/>
          <w:color w:val="000000"/>
          <w:kern w:val="0"/>
          <w:szCs w:val="24"/>
          <w:lang w:eastAsia="es-ES_tradnl"/>
          <w14:ligatures w14:val="none"/>
        </w:rPr>
        <w:t>Agropecuaria Los Almendros, C.A</w:t>
      </w:r>
      <w:r w:rsidRPr="00C3762A">
        <w:rPr>
          <w:rFonts w:eastAsia="Times New Roman" w:cs="Times New Roman"/>
          <w:color w:val="000000"/>
          <w:kern w:val="0"/>
          <w:szCs w:val="24"/>
          <w:lang w:eastAsia="es-ES_tradnl"/>
          <w14:ligatures w14:val="none"/>
        </w:rPr>
        <w:t>.).</w:t>
      </w:r>
    </w:p>
    <w:p w14:paraId="7AAD48E8" w14:textId="77777777" w:rsidR="00C3762A" w:rsidRPr="00C3762A" w:rsidRDefault="00C3762A" w:rsidP="00C3762A">
      <w:pPr>
        <w:spacing w:line="420" w:lineRule="atLeast"/>
        <w:ind w:firstLine="680"/>
        <w:jc w:val="both"/>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eastAsia="es-ES_tradnl"/>
          <w14:ligatures w14:val="none"/>
        </w:rPr>
        <w:t>En armonía con lo indicado, de la revisión a la documentación inserta en el expediente judicial, cabe destacar que tampoco hay evidencia en autos que la recurrente haya fundamentado su recurso al momento de apelar la decisión de instancia, siendo lo correcto en el presente caso seguir el criterio conforme a lo sentado en el fallo de la Sala Constitucional Nro. 1.350 de fecha 5 de agosto de 2011, caso: </w:t>
      </w:r>
      <w:r w:rsidRPr="00C3762A">
        <w:rPr>
          <w:rFonts w:eastAsia="Times New Roman" w:cs="Times New Roman"/>
          <w:i/>
          <w:iCs/>
          <w:color w:val="000000"/>
          <w:kern w:val="0"/>
          <w:szCs w:val="24"/>
          <w:lang w:val="es-MX" w:eastAsia="es-ES_tradnl"/>
          <w14:ligatures w14:val="none"/>
        </w:rPr>
        <w:t>Desarrollo Las Américas, C.A. </w:t>
      </w:r>
      <w:r w:rsidRPr="00C3762A">
        <w:rPr>
          <w:rFonts w:eastAsia="Times New Roman" w:cs="Times New Roman"/>
          <w:color w:val="000000"/>
          <w:kern w:val="0"/>
          <w:szCs w:val="24"/>
          <w:lang w:eastAsia="es-ES_tradnl"/>
          <w14:ligatures w14:val="none"/>
        </w:rPr>
        <w:t>e </w:t>
      </w:r>
      <w:r w:rsidRPr="00C3762A">
        <w:rPr>
          <w:rFonts w:eastAsia="Times New Roman" w:cs="Times New Roman"/>
          <w:i/>
          <w:iCs/>
          <w:color w:val="000000"/>
          <w:kern w:val="0"/>
          <w:szCs w:val="24"/>
          <w:lang w:val="es-MX" w:eastAsia="es-ES_tradnl"/>
          <w14:ligatures w14:val="none"/>
        </w:rPr>
        <w:t>Inversiones 431.799, C.A</w:t>
      </w:r>
      <w:r w:rsidRPr="00C3762A">
        <w:rPr>
          <w:rFonts w:eastAsia="Times New Roman" w:cs="Times New Roman"/>
          <w:color w:val="000000"/>
          <w:kern w:val="0"/>
          <w:szCs w:val="24"/>
          <w:lang w:val="es-MX" w:eastAsia="es-ES_tradnl"/>
          <w14:ligatures w14:val="none"/>
        </w:rPr>
        <w:t>.</w:t>
      </w:r>
    </w:p>
    <w:p w14:paraId="64D2D687" w14:textId="77777777" w:rsidR="00C3762A" w:rsidRPr="00C3762A" w:rsidRDefault="00C3762A" w:rsidP="00C3762A">
      <w:pPr>
        <w:spacing w:line="420" w:lineRule="atLeast"/>
        <w:ind w:firstLine="680"/>
        <w:jc w:val="both"/>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eastAsia="es-ES_tradnl"/>
          <w14:ligatures w14:val="none"/>
        </w:rPr>
        <w:t>Sobre la base de las consideraciones expuestas, se declara el </w:t>
      </w:r>
      <w:r w:rsidRPr="00C3762A">
        <w:rPr>
          <w:rFonts w:eastAsia="Times New Roman" w:cs="Times New Roman"/>
          <w:b/>
          <w:bCs/>
          <w:color w:val="000000"/>
          <w:kern w:val="0"/>
          <w:szCs w:val="24"/>
          <w:lang w:eastAsia="es-ES_tradnl"/>
          <w14:ligatures w14:val="none"/>
        </w:rPr>
        <w:t>desistimiento tácito </w:t>
      </w:r>
      <w:r w:rsidRPr="00C3762A">
        <w:rPr>
          <w:rFonts w:eastAsia="Times New Roman" w:cs="Times New Roman"/>
          <w:color w:val="000000"/>
          <w:kern w:val="0"/>
          <w:szCs w:val="24"/>
          <w:lang w:eastAsia="es-ES_tradnl"/>
          <w14:ligatures w14:val="none"/>
        </w:rPr>
        <w:t>de la apelación ejercida por la representación judicial del Estado Bolívar contra la sentencia definitiva contra la sentencia definitiva Nro. </w:t>
      </w:r>
      <w:r w:rsidRPr="00C3762A">
        <w:rPr>
          <w:rFonts w:eastAsia="Times New Roman" w:cs="Times New Roman"/>
          <w:color w:val="000000"/>
          <w:kern w:val="0"/>
          <w:szCs w:val="24"/>
          <w:lang w:val="es-ES_tradnl" w:eastAsia="es-ES_tradnl"/>
          <w14:ligatures w14:val="none"/>
        </w:rPr>
        <w:t>PJ0662023000013</w:t>
      </w:r>
      <w:r w:rsidRPr="00C3762A">
        <w:rPr>
          <w:rFonts w:eastAsia="Times New Roman" w:cs="Times New Roman"/>
          <w:color w:val="000000"/>
          <w:kern w:val="0"/>
          <w:szCs w:val="24"/>
          <w:lang w:eastAsia="es-ES_tradnl"/>
          <w14:ligatures w14:val="none"/>
        </w:rPr>
        <w:t> dictada por el Tribunal Superior de lo Contencioso Tributario de la Región Guayana el 16 de marzo de 2023, que declaró parcialmente con lugar el recurso contencioso tributario interpuesto en fecha 21 de abril de 2022 </w:t>
      </w:r>
      <w:r w:rsidRPr="00C3762A">
        <w:rPr>
          <w:rFonts w:eastAsia="Times New Roman" w:cs="Times New Roman"/>
          <w:color w:val="000000"/>
          <w:kern w:val="0"/>
          <w:szCs w:val="24"/>
          <w:lang w:val="es-UY" w:eastAsia="es-ES_tradnl"/>
          <w14:ligatures w14:val="none"/>
        </w:rPr>
        <w:t>por la sociedad mercantil </w:t>
      </w:r>
      <w:r w:rsidRPr="00C3762A">
        <w:rPr>
          <w:rFonts w:eastAsia="Times New Roman" w:cs="Times New Roman"/>
          <w:color w:val="000000"/>
          <w:kern w:val="0"/>
          <w:szCs w:val="24"/>
          <w:lang w:eastAsia="es-ES_tradnl"/>
          <w14:ligatures w14:val="none"/>
        </w:rPr>
        <w:t>Licores la Orquídea, C.A., con fundamento en lo dispuesto en el artículo 92 de la Ley Orgánica de la Jurisdicción Contencioso Administrativa. </w:t>
      </w:r>
      <w:r w:rsidRPr="00C3762A">
        <w:rPr>
          <w:rFonts w:eastAsia="Times New Roman" w:cs="Times New Roman"/>
          <w:b/>
          <w:bCs/>
          <w:color w:val="000000"/>
          <w:kern w:val="0"/>
          <w:szCs w:val="24"/>
          <w:lang w:eastAsia="es-ES_tradnl"/>
          <w14:ligatures w14:val="none"/>
        </w:rPr>
        <w:t>Así se decide.</w:t>
      </w:r>
    </w:p>
    <w:p w14:paraId="077CE89D" w14:textId="77777777" w:rsidR="00C3762A" w:rsidRPr="00C3762A" w:rsidRDefault="00C3762A" w:rsidP="00C3762A">
      <w:pPr>
        <w:spacing w:line="420" w:lineRule="atLeast"/>
        <w:ind w:firstLine="680"/>
        <w:jc w:val="both"/>
        <w:rPr>
          <w:rFonts w:eastAsia="Times New Roman" w:cs="Times New Roman"/>
          <w:color w:val="000000"/>
          <w:kern w:val="0"/>
          <w:sz w:val="28"/>
          <w:szCs w:val="28"/>
          <w:lang w:val="es-VE" w:eastAsia="es-ES_tradnl"/>
          <w14:ligatures w14:val="none"/>
        </w:rPr>
      </w:pPr>
      <w:r w:rsidRPr="00C3762A">
        <w:rPr>
          <w:rFonts w:eastAsia="Times New Roman" w:cs="Times New Roman"/>
          <w:b/>
          <w:bCs/>
          <w:color w:val="000000"/>
          <w:kern w:val="0"/>
          <w:szCs w:val="24"/>
          <w:lang w:eastAsia="es-ES_tradnl"/>
          <w14:ligatures w14:val="none"/>
        </w:rPr>
        <w:t>De la Consulta Obligatoria.</w:t>
      </w:r>
    </w:p>
    <w:p w14:paraId="5DF49444" w14:textId="77777777" w:rsidR="00C3762A" w:rsidRPr="00C3762A" w:rsidRDefault="00C3762A" w:rsidP="00C3762A">
      <w:pPr>
        <w:spacing w:line="420" w:lineRule="atLeast"/>
        <w:ind w:firstLine="680"/>
        <w:jc w:val="both"/>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eastAsia="es-ES_tradnl"/>
          <w14:ligatures w14:val="none"/>
        </w:rPr>
        <w:t>Siendo que conforme a lo previsto en el artículo 84 del Decreto con Rango, Valor y Fuerza de Ley Orgánica de la Procuraduría General de la República de 2016, según el cual “</w:t>
      </w:r>
      <w:r w:rsidRPr="00C3762A">
        <w:rPr>
          <w:rFonts w:eastAsia="Times New Roman" w:cs="Times New Roman"/>
          <w:i/>
          <w:iCs/>
          <w:color w:val="000000"/>
          <w:kern w:val="0"/>
          <w:szCs w:val="24"/>
          <w:lang w:eastAsia="es-ES_tradnl"/>
          <w14:ligatures w14:val="none"/>
        </w:rPr>
        <w:t>Toda sentencia definitiva contraria a la pretensión, excepción o defensa de la República debe ser consultada al Tribunal Superior competente</w:t>
      </w:r>
      <w:r w:rsidRPr="00C3762A">
        <w:rPr>
          <w:rFonts w:eastAsia="Times New Roman" w:cs="Times New Roman"/>
          <w:color w:val="000000"/>
          <w:kern w:val="0"/>
          <w:szCs w:val="24"/>
          <w:lang w:eastAsia="es-ES_tradnl"/>
          <w14:ligatures w14:val="none"/>
        </w:rPr>
        <w:t xml:space="preserve">”, en concordancia con la disposición </w:t>
      </w:r>
      <w:r w:rsidRPr="00C3762A">
        <w:rPr>
          <w:rFonts w:eastAsia="Times New Roman" w:cs="Times New Roman"/>
          <w:color w:val="000000"/>
          <w:kern w:val="0"/>
          <w:szCs w:val="24"/>
          <w:lang w:eastAsia="es-ES_tradnl"/>
          <w14:ligatures w14:val="none"/>
        </w:rPr>
        <w:lastRenderedPageBreak/>
        <w:t>contenida en el artículo 36 de la Ley de Reforma Parcial de la Ley Orgánica de Descentralización, Delimitación y Transferencia de Competencias del Poder Público, publicada en la Gaceta Oficial de la República Bolivariana de Venezuela Nro. 39.140 del 17 de marzo de 2009, que prevé “</w:t>
      </w:r>
      <w:r w:rsidRPr="00C3762A">
        <w:rPr>
          <w:rFonts w:eastAsia="Times New Roman" w:cs="Times New Roman"/>
          <w:i/>
          <w:iCs/>
          <w:color w:val="000000"/>
          <w:kern w:val="0"/>
          <w:szCs w:val="24"/>
          <w:lang w:eastAsia="es-ES_tradnl"/>
          <w14:ligatures w14:val="none"/>
        </w:rPr>
        <w:t>Los estados tendrán, los mismos privilegios, prerrogativas fiscales y procesales de que goza la República</w:t>
      </w:r>
      <w:r w:rsidRPr="00C3762A">
        <w:rPr>
          <w:rFonts w:eastAsia="Times New Roman" w:cs="Times New Roman"/>
          <w:color w:val="000000"/>
          <w:kern w:val="0"/>
          <w:szCs w:val="24"/>
          <w:lang w:eastAsia="es-ES_tradnl"/>
          <w14:ligatures w14:val="none"/>
        </w:rPr>
        <w:t>”, esta Sala Político-Administrativa, actuando como Máxima Instancia de la jurisdicción contencioso administrativa y tributaria, procede a realizar el análisis correspondiente al referido fallo, no sin antes formular algunas precisiones en torno a la figura procesal de la consulta.</w:t>
      </w:r>
    </w:p>
    <w:p w14:paraId="0AE8EE9D" w14:textId="77777777" w:rsidR="00C3762A" w:rsidRPr="00C3762A" w:rsidRDefault="00C3762A" w:rsidP="00C3762A">
      <w:pPr>
        <w:spacing w:line="420" w:lineRule="atLeast"/>
        <w:ind w:firstLine="680"/>
        <w:jc w:val="both"/>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eastAsia="es-ES_tradnl"/>
          <w14:ligatures w14:val="none"/>
        </w:rPr>
        <w:t xml:space="preserve">En tal sentido, circunscribiendo el análisis en consulta a los aspectos de orden público, constitucional y de interés general señalados por esta Sala Político-Administrativa en sus sentencias </w:t>
      </w:r>
      <w:proofErr w:type="spellStart"/>
      <w:r w:rsidRPr="00C3762A">
        <w:rPr>
          <w:rFonts w:eastAsia="Times New Roman" w:cs="Times New Roman"/>
          <w:color w:val="000000"/>
          <w:kern w:val="0"/>
          <w:szCs w:val="24"/>
          <w:lang w:eastAsia="es-ES_tradnl"/>
          <w14:ligatures w14:val="none"/>
        </w:rPr>
        <w:t>Nros</w:t>
      </w:r>
      <w:proofErr w:type="spellEnd"/>
      <w:r w:rsidRPr="00C3762A">
        <w:rPr>
          <w:rFonts w:eastAsia="Times New Roman" w:cs="Times New Roman"/>
          <w:color w:val="000000"/>
          <w:kern w:val="0"/>
          <w:szCs w:val="24"/>
          <w:lang w:eastAsia="es-ES_tradnl"/>
          <w14:ligatures w14:val="none"/>
        </w:rPr>
        <w:t>. 00812 y 00813, ambas de fecha 22 de junio de 2011, casos: </w:t>
      </w:r>
      <w:r w:rsidRPr="00C3762A">
        <w:rPr>
          <w:rFonts w:eastAsia="Times New Roman" w:cs="Times New Roman"/>
          <w:i/>
          <w:iCs/>
          <w:color w:val="000000"/>
          <w:kern w:val="0"/>
          <w:szCs w:val="24"/>
          <w:lang w:eastAsia="es-ES_tradnl"/>
          <w14:ligatures w14:val="none"/>
        </w:rPr>
        <w:t>C.A. Radio Caracas Televisión -RCTV- </w:t>
      </w:r>
      <w:r w:rsidRPr="00C3762A">
        <w:rPr>
          <w:rFonts w:eastAsia="Times New Roman" w:cs="Times New Roman"/>
          <w:color w:val="000000"/>
          <w:kern w:val="0"/>
          <w:szCs w:val="24"/>
          <w:lang w:eastAsia="es-ES_tradnl"/>
          <w14:ligatures w14:val="none"/>
        </w:rPr>
        <w:t>y </w:t>
      </w:r>
      <w:r w:rsidRPr="00C3762A">
        <w:rPr>
          <w:rFonts w:eastAsia="Times New Roman" w:cs="Times New Roman"/>
          <w:i/>
          <w:iCs/>
          <w:color w:val="000000"/>
          <w:kern w:val="0"/>
          <w:szCs w:val="24"/>
          <w:lang w:eastAsia="es-ES_tradnl"/>
          <w14:ligatures w14:val="none"/>
        </w:rPr>
        <w:t xml:space="preserve">Corporación Archivos Móviles </w:t>
      </w:r>
      <w:proofErr w:type="spellStart"/>
      <w:r w:rsidRPr="00C3762A">
        <w:rPr>
          <w:rFonts w:eastAsia="Times New Roman" w:cs="Times New Roman"/>
          <w:i/>
          <w:iCs/>
          <w:color w:val="000000"/>
          <w:kern w:val="0"/>
          <w:szCs w:val="24"/>
          <w:lang w:eastAsia="es-ES_tradnl"/>
          <w14:ligatures w14:val="none"/>
        </w:rPr>
        <w:t>Archimóvil</w:t>
      </w:r>
      <w:proofErr w:type="spellEnd"/>
      <w:r w:rsidRPr="00C3762A">
        <w:rPr>
          <w:rFonts w:eastAsia="Times New Roman" w:cs="Times New Roman"/>
          <w:i/>
          <w:iCs/>
          <w:color w:val="000000"/>
          <w:kern w:val="0"/>
          <w:szCs w:val="24"/>
          <w:lang w:eastAsia="es-ES_tradnl"/>
          <w14:ligatures w14:val="none"/>
        </w:rPr>
        <w:t>, C.A</w:t>
      </w:r>
      <w:r w:rsidRPr="00C3762A">
        <w:rPr>
          <w:rFonts w:eastAsia="Times New Roman" w:cs="Times New Roman"/>
          <w:color w:val="000000"/>
          <w:kern w:val="0"/>
          <w:szCs w:val="24"/>
          <w:lang w:eastAsia="es-ES_tradnl"/>
          <w14:ligatures w14:val="none"/>
        </w:rPr>
        <w:t>., respectivamente); concatenados con la reconsideración del criterio consistente en los requisitos o condiciones exigidas para conocer en consulta obligatoria de las sentencias contrarias a las pretensiones de la República, realizada en el fallo Nro. 01658 del 10 de diciembre de 2014, caso: </w:t>
      </w:r>
      <w:proofErr w:type="spellStart"/>
      <w:r w:rsidRPr="00C3762A">
        <w:rPr>
          <w:rFonts w:eastAsia="Times New Roman" w:cs="Times New Roman"/>
          <w:i/>
          <w:iCs/>
          <w:color w:val="000000"/>
          <w:kern w:val="0"/>
          <w:szCs w:val="24"/>
          <w:lang w:eastAsia="es-ES_tradnl"/>
          <w14:ligatures w14:val="none"/>
        </w:rPr>
        <w:t>Plusmetal</w:t>
      </w:r>
      <w:proofErr w:type="spellEnd"/>
      <w:r w:rsidRPr="00C3762A">
        <w:rPr>
          <w:rFonts w:eastAsia="Times New Roman" w:cs="Times New Roman"/>
          <w:i/>
          <w:iCs/>
          <w:color w:val="000000"/>
          <w:kern w:val="0"/>
          <w:szCs w:val="24"/>
          <w:lang w:eastAsia="es-ES_tradnl"/>
          <w14:ligatures w14:val="none"/>
        </w:rPr>
        <w:t xml:space="preserve"> Construcciones de Acero C.A</w:t>
      </w:r>
      <w:r w:rsidRPr="00C3762A">
        <w:rPr>
          <w:rFonts w:eastAsia="Times New Roman" w:cs="Times New Roman"/>
          <w:color w:val="000000"/>
          <w:kern w:val="0"/>
          <w:szCs w:val="24"/>
          <w:lang w:eastAsia="es-ES_tradnl"/>
          <w14:ligatures w14:val="none"/>
        </w:rPr>
        <w:t>., ratificado en la decisión judicial Nro. 00114 del 19 de febrero de 2015, caso: </w:t>
      </w:r>
      <w:r w:rsidRPr="00C3762A">
        <w:rPr>
          <w:rFonts w:eastAsia="Times New Roman" w:cs="Times New Roman"/>
          <w:i/>
          <w:iCs/>
          <w:color w:val="000000"/>
          <w:kern w:val="0"/>
          <w:szCs w:val="24"/>
          <w:lang w:eastAsia="es-ES_tradnl"/>
          <w14:ligatures w14:val="none"/>
        </w:rPr>
        <w:t>Sucesión de Carlota Figueredo de Mancera</w:t>
      </w:r>
      <w:r w:rsidRPr="00C3762A">
        <w:rPr>
          <w:rFonts w:eastAsia="Times New Roman" w:cs="Times New Roman"/>
          <w:color w:val="000000"/>
          <w:kern w:val="0"/>
          <w:szCs w:val="24"/>
          <w:lang w:eastAsia="es-ES_tradnl"/>
          <w14:ligatures w14:val="none"/>
        </w:rPr>
        <w:t>, donde se decidió la improcedencia del establecimiento de límites a la cuantía para someter a consulta las decisiones judiciales desfavorables a la República, vistos “</w:t>
      </w:r>
      <w:r w:rsidRPr="00C3762A">
        <w:rPr>
          <w:rFonts w:eastAsia="Times New Roman" w:cs="Times New Roman"/>
          <w:i/>
          <w:iCs/>
          <w:color w:val="000000"/>
          <w:kern w:val="0"/>
          <w:szCs w:val="24"/>
          <w:lang w:eastAsia="es-ES_tradnl"/>
          <w14:ligatures w14:val="none"/>
        </w:rPr>
        <w:t>los intereses patrimoniales del Estado debatidos en los juicios contencioso-tributarios, que denotan un relevante interés público y utilidad social, por estar íntimamente relacionados con la recaudación de tributos y la obligación de los particulares de contribuir con las cargas públicas para la protección de la economía nacional y la elevación del nivel de vida de la población</w:t>
      </w:r>
      <w:r w:rsidRPr="00C3762A">
        <w:rPr>
          <w:rFonts w:eastAsia="Times New Roman" w:cs="Times New Roman"/>
          <w:color w:val="000000"/>
          <w:kern w:val="0"/>
          <w:szCs w:val="24"/>
          <w:lang w:eastAsia="es-ES_tradnl"/>
          <w14:ligatures w14:val="none"/>
        </w:rPr>
        <w:t>”; son dos (2) los supuestos de procedencia de la consulta en materia tributaria, a saber: </w:t>
      </w:r>
      <w:r w:rsidRPr="00C3762A">
        <w:rPr>
          <w:rFonts w:eastAsia="Times New Roman" w:cs="Times New Roman"/>
          <w:i/>
          <w:iCs/>
          <w:color w:val="000000"/>
          <w:kern w:val="0"/>
          <w:szCs w:val="24"/>
          <w:lang w:eastAsia="es-ES_tradnl"/>
          <w14:ligatures w14:val="none"/>
        </w:rPr>
        <w:t>(i) </w:t>
      </w:r>
      <w:r w:rsidRPr="00C3762A">
        <w:rPr>
          <w:rFonts w:eastAsia="Times New Roman" w:cs="Times New Roman"/>
          <w:color w:val="000000"/>
          <w:kern w:val="0"/>
          <w:szCs w:val="24"/>
          <w:lang w:eastAsia="es-ES_tradnl"/>
          <w14:ligatures w14:val="none"/>
        </w:rPr>
        <w:t>que se trate de sentencias definitivas o interlocutorias que causen gravamen irreparable, es decir, revisables por la vía ordinaria del recurso de apelación; y </w:t>
      </w:r>
      <w:r w:rsidRPr="00C3762A">
        <w:rPr>
          <w:rFonts w:eastAsia="Times New Roman" w:cs="Times New Roman"/>
          <w:i/>
          <w:iCs/>
          <w:color w:val="000000"/>
          <w:kern w:val="0"/>
          <w:szCs w:val="24"/>
          <w:lang w:eastAsia="es-ES_tradnl"/>
          <w14:ligatures w14:val="none"/>
        </w:rPr>
        <w:t>(</w:t>
      </w:r>
      <w:proofErr w:type="spellStart"/>
      <w:r w:rsidRPr="00C3762A">
        <w:rPr>
          <w:rFonts w:eastAsia="Times New Roman" w:cs="Times New Roman"/>
          <w:i/>
          <w:iCs/>
          <w:color w:val="000000"/>
          <w:kern w:val="0"/>
          <w:szCs w:val="24"/>
          <w:lang w:eastAsia="es-ES_tradnl"/>
          <w14:ligatures w14:val="none"/>
        </w:rPr>
        <w:t>ii</w:t>
      </w:r>
      <w:proofErr w:type="spellEnd"/>
      <w:r w:rsidRPr="00C3762A">
        <w:rPr>
          <w:rFonts w:eastAsia="Times New Roman" w:cs="Times New Roman"/>
          <w:i/>
          <w:iCs/>
          <w:color w:val="000000"/>
          <w:kern w:val="0"/>
          <w:szCs w:val="24"/>
          <w:lang w:eastAsia="es-ES_tradnl"/>
          <w14:ligatures w14:val="none"/>
        </w:rPr>
        <w:t>) </w:t>
      </w:r>
      <w:r w:rsidRPr="00C3762A">
        <w:rPr>
          <w:rFonts w:eastAsia="Times New Roman" w:cs="Times New Roman"/>
          <w:color w:val="000000"/>
          <w:kern w:val="0"/>
          <w:szCs w:val="24"/>
          <w:lang w:eastAsia="es-ES_tradnl"/>
          <w14:ligatures w14:val="none"/>
        </w:rPr>
        <w:t>que las mismas resulten contrarias a las pretensiones de la República.</w:t>
      </w:r>
    </w:p>
    <w:p w14:paraId="2516C4D2" w14:textId="77777777" w:rsidR="00C3762A" w:rsidRPr="00C3762A" w:rsidRDefault="00C3762A" w:rsidP="00C3762A">
      <w:pPr>
        <w:spacing w:line="420" w:lineRule="atLeast"/>
        <w:ind w:firstLine="680"/>
        <w:jc w:val="both"/>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eastAsia="es-ES_tradnl"/>
          <w14:ligatures w14:val="none"/>
        </w:rPr>
        <w:t>Así, al aplicar las exigencias señaladas previamente al caso bajo análisis, esta Alzada constata lo siguiente: </w:t>
      </w:r>
      <w:r w:rsidRPr="00C3762A">
        <w:rPr>
          <w:rFonts w:eastAsia="Times New Roman" w:cs="Times New Roman"/>
          <w:i/>
          <w:iCs/>
          <w:color w:val="000000"/>
          <w:kern w:val="0"/>
          <w:szCs w:val="24"/>
          <w:lang w:eastAsia="es-ES_tradnl"/>
          <w14:ligatures w14:val="none"/>
        </w:rPr>
        <w:t>a)</w:t>
      </w:r>
      <w:r w:rsidRPr="00C3762A">
        <w:rPr>
          <w:rFonts w:eastAsia="Times New Roman" w:cs="Times New Roman"/>
          <w:color w:val="000000"/>
          <w:kern w:val="0"/>
          <w:szCs w:val="24"/>
          <w:lang w:eastAsia="es-ES_tradnl"/>
          <w14:ligatures w14:val="none"/>
        </w:rPr>
        <w:t> se trata de una sentencia que resuelve el mérito del asunto controvertido; y </w:t>
      </w:r>
      <w:r w:rsidRPr="00C3762A">
        <w:rPr>
          <w:rFonts w:eastAsia="Times New Roman" w:cs="Times New Roman"/>
          <w:i/>
          <w:iCs/>
          <w:color w:val="000000"/>
          <w:kern w:val="0"/>
          <w:szCs w:val="24"/>
          <w:lang w:eastAsia="es-ES_tradnl"/>
          <w14:ligatures w14:val="none"/>
        </w:rPr>
        <w:t>b)</w:t>
      </w:r>
      <w:r w:rsidRPr="00C3762A">
        <w:rPr>
          <w:rFonts w:eastAsia="Times New Roman" w:cs="Times New Roman"/>
          <w:color w:val="984806"/>
          <w:kern w:val="0"/>
          <w:szCs w:val="24"/>
          <w:lang w:eastAsia="es-ES_tradnl"/>
          <w14:ligatures w14:val="none"/>
        </w:rPr>
        <w:t> </w:t>
      </w:r>
      <w:r w:rsidRPr="00C3762A">
        <w:rPr>
          <w:rFonts w:eastAsia="Times New Roman" w:cs="Times New Roman"/>
          <w:color w:val="000000"/>
          <w:kern w:val="0"/>
          <w:szCs w:val="24"/>
          <w:lang w:eastAsia="es-ES_tradnl"/>
          <w14:ligatures w14:val="none"/>
        </w:rPr>
        <w:t xml:space="preserve">el pronunciamiento del fallo objeto de consulta resultó contrario a la </w:t>
      </w:r>
      <w:r w:rsidRPr="00C3762A">
        <w:rPr>
          <w:rFonts w:eastAsia="Times New Roman" w:cs="Times New Roman"/>
          <w:color w:val="000000"/>
          <w:kern w:val="0"/>
          <w:szCs w:val="24"/>
          <w:lang w:eastAsia="es-ES_tradnl"/>
          <w14:ligatures w14:val="none"/>
        </w:rPr>
        <w:lastRenderedPageBreak/>
        <w:t>pretensión del Estado Bolívar, que de conformidad con el artículo 36 de la Ley de Reforma Parcial de la Ley Orgánica de Descentralización, Delimitación y Transferencia de Competencias del Poder Público, publicada en la Gaceta Oficial de la República Bolivariana de Venezuela Nro. 39.140 del 17 de marzo de 2009, goza de las mismas prerrogativas procesales que la República.</w:t>
      </w:r>
    </w:p>
    <w:p w14:paraId="75896036" w14:textId="77777777" w:rsidR="00C3762A" w:rsidRPr="00C3762A" w:rsidRDefault="00C3762A" w:rsidP="00C3762A">
      <w:pPr>
        <w:spacing w:line="420" w:lineRule="atLeast"/>
        <w:ind w:firstLine="680"/>
        <w:jc w:val="both"/>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eastAsia="es-ES_tradnl"/>
          <w14:ligatures w14:val="none"/>
        </w:rPr>
        <w:t>Con base a lo expuesto, a juicio de esta Máxima Instancia procede el conocimiento en consulta de la decisión de lo que resulta desfavorable al Estado Bolívar y adicionalmente, la misma deberá analizar si el fallo de instancia incurrió en lo siguiente: </w:t>
      </w:r>
      <w:r w:rsidRPr="00C3762A">
        <w:rPr>
          <w:rFonts w:eastAsia="Times New Roman" w:cs="Times New Roman"/>
          <w:i/>
          <w:iCs/>
          <w:color w:val="000000"/>
          <w:kern w:val="0"/>
          <w:szCs w:val="24"/>
          <w:lang w:eastAsia="es-ES_tradnl"/>
          <w14:ligatures w14:val="none"/>
        </w:rPr>
        <w:t>(i)</w:t>
      </w:r>
      <w:r w:rsidRPr="00C3762A">
        <w:rPr>
          <w:rFonts w:eastAsia="Times New Roman" w:cs="Times New Roman"/>
          <w:color w:val="000000"/>
          <w:kern w:val="0"/>
          <w:szCs w:val="24"/>
          <w:lang w:eastAsia="es-ES_tradnl"/>
          <w14:ligatures w14:val="none"/>
        </w:rPr>
        <w:t> se apartó del orden público; </w:t>
      </w:r>
      <w:r w:rsidRPr="00C3762A">
        <w:rPr>
          <w:rFonts w:eastAsia="Times New Roman" w:cs="Times New Roman"/>
          <w:i/>
          <w:iCs/>
          <w:color w:val="000000"/>
          <w:kern w:val="0"/>
          <w:szCs w:val="24"/>
          <w:lang w:eastAsia="es-ES_tradnl"/>
          <w14:ligatures w14:val="none"/>
        </w:rPr>
        <w:t>(</w:t>
      </w:r>
      <w:proofErr w:type="spellStart"/>
      <w:r w:rsidRPr="00C3762A">
        <w:rPr>
          <w:rFonts w:eastAsia="Times New Roman" w:cs="Times New Roman"/>
          <w:i/>
          <w:iCs/>
          <w:color w:val="000000"/>
          <w:kern w:val="0"/>
          <w:szCs w:val="24"/>
          <w:lang w:eastAsia="es-ES_tradnl"/>
          <w14:ligatures w14:val="none"/>
        </w:rPr>
        <w:t>ii</w:t>
      </w:r>
      <w:proofErr w:type="spellEnd"/>
      <w:r w:rsidRPr="00C3762A">
        <w:rPr>
          <w:rFonts w:eastAsia="Times New Roman" w:cs="Times New Roman"/>
          <w:i/>
          <w:iCs/>
          <w:color w:val="000000"/>
          <w:kern w:val="0"/>
          <w:szCs w:val="24"/>
          <w:lang w:eastAsia="es-ES_tradnl"/>
          <w14:ligatures w14:val="none"/>
        </w:rPr>
        <w:t>)</w:t>
      </w:r>
      <w:r w:rsidRPr="00C3762A">
        <w:rPr>
          <w:rFonts w:eastAsia="Times New Roman" w:cs="Times New Roman"/>
          <w:color w:val="000000"/>
          <w:kern w:val="0"/>
          <w:szCs w:val="24"/>
          <w:lang w:eastAsia="es-ES_tradnl"/>
          <w14:ligatures w14:val="none"/>
        </w:rPr>
        <w:t> violentó normas de rango constitucional o interpretaciones y criterios vinculantes sentados por la Sala Constitucional de este Alto Tribunal; </w:t>
      </w:r>
      <w:r w:rsidRPr="00C3762A">
        <w:rPr>
          <w:rFonts w:eastAsia="Times New Roman" w:cs="Times New Roman"/>
          <w:i/>
          <w:iCs/>
          <w:color w:val="000000"/>
          <w:kern w:val="0"/>
          <w:szCs w:val="24"/>
          <w:lang w:eastAsia="es-ES_tradnl"/>
          <w14:ligatures w14:val="none"/>
        </w:rPr>
        <w:t>(</w:t>
      </w:r>
      <w:proofErr w:type="spellStart"/>
      <w:r w:rsidRPr="00C3762A">
        <w:rPr>
          <w:rFonts w:eastAsia="Times New Roman" w:cs="Times New Roman"/>
          <w:i/>
          <w:iCs/>
          <w:color w:val="000000"/>
          <w:kern w:val="0"/>
          <w:szCs w:val="24"/>
          <w:lang w:eastAsia="es-ES_tradnl"/>
          <w14:ligatures w14:val="none"/>
        </w:rPr>
        <w:t>iii</w:t>
      </w:r>
      <w:proofErr w:type="spellEnd"/>
      <w:r w:rsidRPr="00C3762A">
        <w:rPr>
          <w:rFonts w:eastAsia="Times New Roman" w:cs="Times New Roman"/>
          <w:i/>
          <w:iCs/>
          <w:color w:val="000000"/>
          <w:kern w:val="0"/>
          <w:szCs w:val="24"/>
          <w:lang w:eastAsia="es-ES_tradnl"/>
          <w14:ligatures w14:val="none"/>
        </w:rPr>
        <w:t>)</w:t>
      </w:r>
      <w:r w:rsidRPr="00C3762A">
        <w:rPr>
          <w:rFonts w:eastAsia="Times New Roman" w:cs="Times New Roman"/>
          <w:color w:val="000000"/>
          <w:kern w:val="0"/>
          <w:szCs w:val="24"/>
          <w:lang w:eastAsia="es-ES_tradnl"/>
          <w14:ligatures w14:val="none"/>
        </w:rPr>
        <w:t> quebrantó formas sustanciales en el proceso o de las demás prerrogativas procesales; o </w:t>
      </w:r>
      <w:r w:rsidRPr="00C3762A">
        <w:rPr>
          <w:rFonts w:eastAsia="Times New Roman" w:cs="Times New Roman"/>
          <w:i/>
          <w:iCs/>
          <w:color w:val="000000"/>
          <w:kern w:val="0"/>
          <w:szCs w:val="24"/>
          <w:lang w:eastAsia="es-ES_tradnl"/>
          <w14:ligatures w14:val="none"/>
        </w:rPr>
        <w:t>(</w:t>
      </w:r>
      <w:proofErr w:type="spellStart"/>
      <w:r w:rsidRPr="00C3762A">
        <w:rPr>
          <w:rFonts w:eastAsia="Times New Roman" w:cs="Times New Roman"/>
          <w:i/>
          <w:iCs/>
          <w:color w:val="000000"/>
          <w:kern w:val="0"/>
          <w:szCs w:val="24"/>
          <w:lang w:eastAsia="es-ES_tradnl"/>
          <w14:ligatures w14:val="none"/>
        </w:rPr>
        <w:t>iv</w:t>
      </w:r>
      <w:proofErr w:type="spellEnd"/>
      <w:r w:rsidRPr="00C3762A">
        <w:rPr>
          <w:rFonts w:eastAsia="Times New Roman" w:cs="Times New Roman"/>
          <w:i/>
          <w:iCs/>
          <w:color w:val="000000"/>
          <w:kern w:val="0"/>
          <w:szCs w:val="24"/>
          <w:lang w:eastAsia="es-ES_tradnl"/>
          <w14:ligatures w14:val="none"/>
        </w:rPr>
        <w:t>)</w:t>
      </w:r>
      <w:r w:rsidRPr="00C3762A">
        <w:rPr>
          <w:rFonts w:eastAsia="Times New Roman" w:cs="Times New Roman"/>
          <w:color w:val="000000"/>
          <w:kern w:val="0"/>
          <w:szCs w:val="24"/>
          <w:lang w:eastAsia="es-ES_tradnl"/>
          <w14:ligatures w14:val="none"/>
        </w:rPr>
        <w:t> hubo una incorrecta ponderación del interés general. (</w:t>
      </w:r>
      <w:r w:rsidRPr="00C3762A">
        <w:rPr>
          <w:rFonts w:eastAsia="Times New Roman" w:cs="Times New Roman"/>
          <w:i/>
          <w:iCs/>
          <w:color w:val="000000"/>
          <w:kern w:val="0"/>
          <w:szCs w:val="24"/>
          <w:lang w:eastAsia="es-ES_tradnl"/>
          <w14:ligatures w14:val="none"/>
        </w:rPr>
        <w:t>Vid</w:t>
      </w:r>
      <w:r w:rsidRPr="00C3762A">
        <w:rPr>
          <w:rFonts w:eastAsia="Times New Roman" w:cs="Times New Roman"/>
          <w:color w:val="000000"/>
          <w:kern w:val="0"/>
          <w:szCs w:val="24"/>
          <w:lang w:eastAsia="es-ES_tradnl"/>
          <w14:ligatures w14:val="none"/>
        </w:rPr>
        <w:t>., decisión de la referida Sala Constitucional Nro. 1071 del 10 de agosto de 2015, caso: </w:t>
      </w:r>
      <w:r w:rsidRPr="00C3762A">
        <w:rPr>
          <w:rFonts w:eastAsia="Times New Roman" w:cs="Times New Roman"/>
          <w:i/>
          <w:iCs/>
          <w:color w:val="000000"/>
          <w:kern w:val="0"/>
          <w:szCs w:val="24"/>
          <w:lang w:eastAsia="es-ES_tradnl"/>
          <w14:ligatures w14:val="none"/>
        </w:rPr>
        <w:t>María del Rosario Hernández Torrealba </w:t>
      </w:r>
      <w:r w:rsidRPr="00C3762A">
        <w:rPr>
          <w:rFonts w:eastAsia="Times New Roman" w:cs="Times New Roman"/>
          <w:color w:val="000000"/>
          <w:kern w:val="0"/>
          <w:szCs w:val="24"/>
          <w:lang w:eastAsia="es-ES_tradnl"/>
          <w14:ligatures w14:val="none"/>
        </w:rPr>
        <w:t>y el fallo de esta Sala Político-Administrativa Nro. 01101 del 8 de octubre de 2015, caso: </w:t>
      </w:r>
      <w:proofErr w:type="spellStart"/>
      <w:r w:rsidRPr="00C3762A">
        <w:rPr>
          <w:rFonts w:eastAsia="Times New Roman" w:cs="Times New Roman"/>
          <w:i/>
          <w:iCs/>
          <w:color w:val="000000"/>
          <w:kern w:val="0"/>
          <w:szCs w:val="24"/>
          <w:lang w:eastAsia="es-ES_tradnl"/>
          <w14:ligatures w14:val="none"/>
        </w:rPr>
        <w:t>Shering</w:t>
      </w:r>
      <w:proofErr w:type="spellEnd"/>
      <w:r w:rsidRPr="00C3762A">
        <w:rPr>
          <w:rFonts w:eastAsia="Times New Roman" w:cs="Times New Roman"/>
          <w:i/>
          <w:iCs/>
          <w:color w:val="000000"/>
          <w:kern w:val="0"/>
          <w:szCs w:val="24"/>
          <w:lang w:eastAsia="es-ES_tradnl"/>
          <w14:ligatures w14:val="none"/>
        </w:rPr>
        <w:t xml:space="preserve"> </w:t>
      </w:r>
      <w:proofErr w:type="spellStart"/>
      <w:r w:rsidRPr="00C3762A">
        <w:rPr>
          <w:rFonts w:eastAsia="Times New Roman" w:cs="Times New Roman"/>
          <w:i/>
          <w:iCs/>
          <w:color w:val="000000"/>
          <w:kern w:val="0"/>
          <w:szCs w:val="24"/>
          <w:lang w:eastAsia="es-ES_tradnl"/>
          <w14:ligatures w14:val="none"/>
        </w:rPr>
        <w:t>Plough</w:t>
      </w:r>
      <w:proofErr w:type="spellEnd"/>
      <w:r w:rsidRPr="00C3762A">
        <w:rPr>
          <w:rFonts w:eastAsia="Times New Roman" w:cs="Times New Roman"/>
          <w:i/>
          <w:iCs/>
          <w:color w:val="000000"/>
          <w:kern w:val="0"/>
          <w:szCs w:val="24"/>
          <w:lang w:eastAsia="es-ES_tradnl"/>
          <w14:ligatures w14:val="none"/>
        </w:rPr>
        <w:t>, C.A</w:t>
      </w:r>
      <w:r w:rsidRPr="00C3762A">
        <w:rPr>
          <w:rFonts w:eastAsia="Times New Roman" w:cs="Times New Roman"/>
          <w:color w:val="000000"/>
          <w:kern w:val="0"/>
          <w:szCs w:val="24"/>
          <w:lang w:eastAsia="es-ES_tradnl"/>
          <w14:ligatures w14:val="none"/>
        </w:rPr>
        <w:t>.). </w:t>
      </w:r>
      <w:r w:rsidRPr="00C3762A">
        <w:rPr>
          <w:rFonts w:eastAsia="Times New Roman" w:cs="Times New Roman"/>
          <w:b/>
          <w:bCs/>
          <w:color w:val="000000"/>
          <w:kern w:val="0"/>
          <w:szCs w:val="24"/>
          <w:lang w:eastAsia="es-ES_tradnl"/>
          <w14:ligatures w14:val="none"/>
        </w:rPr>
        <w:t>Así se declara</w:t>
      </w:r>
      <w:r w:rsidRPr="00C3762A">
        <w:rPr>
          <w:rFonts w:eastAsia="Times New Roman" w:cs="Times New Roman"/>
          <w:color w:val="000000"/>
          <w:kern w:val="0"/>
          <w:szCs w:val="24"/>
          <w:lang w:eastAsia="es-ES_tradnl"/>
          <w14:ligatures w14:val="none"/>
        </w:rPr>
        <w:t>.</w:t>
      </w:r>
    </w:p>
    <w:p w14:paraId="323CF31A" w14:textId="77777777" w:rsidR="00C3762A" w:rsidRPr="00C3762A" w:rsidRDefault="00C3762A" w:rsidP="00C3762A">
      <w:pPr>
        <w:spacing w:line="420" w:lineRule="atLeast"/>
        <w:ind w:firstLine="680"/>
        <w:jc w:val="both"/>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eastAsia="es-ES_tradnl"/>
          <w14:ligatures w14:val="none"/>
        </w:rPr>
        <w:t>Precisado lo anterior, debe advertirse que la presente consulta se contrae a verificar la conformidad a derecho del pronunciamiento del Tribunal de instancia</w:t>
      </w:r>
      <w:r w:rsidRPr="00C3762A">
        <w:rPr>
          <w:rFonts w:eastAsia="Times New Roman" w:cs="Times New Roman"/>
          <w:i/>
          <w:iCs/>
          <w:color w:val="000000"/>
          <w:kern w:val="0"/>
          <w:szCs w:val="24"/>
          <w:lang w:eastAsia="es-ES_tradnl"/>
          <w14:ligatures w14:val="none"/>
        </w:rPr>
        <w:t> </w:t>
      </w:r>
      <w:r w:rsidRPr="00C3762A">
        <w:rPr>
          <w:rFonts w:eastAsia="Times New Roman" w:cs="Times New Roman"/>
          <w:color w:val="000000"/>
          <w:kern w:val="0"/>
          <w:szCs w:val="24"/>
          <w:lang w:eastAsia="es-ES_tradnl"/>
          <w14:ligatures w14:val="none"/>
        </w:rPr>
        <w:t>que resultó desfavorable a la Procuraduría General del Estado Bolívar, por Órgano de la Gobernación del Estado Bolívar y su ente, el Servicio Autónomo de Administración Tributaria del Estado Bolívar (TRIBUTOS BOLÍVAR), vale decir, la declaratoria de nulidad de la “</w:t>
      </w:r>
      <w:r w:rsidRPr="00C3762A">
        <w:rPr>
          <w:rFonts w:eastAsia="Times New Roman" w:cs="Times New Roman"/>
          <w:i/>
          <w:iCs/>
          <w:color w:val="000000"/>
          <w:kern w:val="0"/>
          <w:szCs w:val="24"/>
          <w:lang w:eastAsia="es-ES_tradnl"/>
          <w14:ligatures w14:val="none"/>
        </w:rPr>
        <w:t>Resolución de Imposición de Sanción por Incumplimientos de Deberes Formales identificada con el Nro. GEB/SAF/SAT/SATEEB/ DD/GIF/DV/002/2022</w:t>
      </w:r>
      <w:r w:rsidRPr="00C3762A">
        <w:rPr>
          <w:rFonts w:eastAsia="Times New Roman" w:cs="Times New Roman"/>
          <w:color w:val="000000"/>
          <w:kern w:val="0"/>
          <w:szCs w:val="24"/>
          <w:lang w:eastAsia="es-ES_tradnl"/>
          <w14:ligatures w14:val="none"/>
        </w:rPr>
        <w:t>”, de fecha 25 de marzo de 2022, mediante la cual se impuso a la contribuyente sanciones de multa por incumplimiento de deberes formales, de conformidad con los artículos 82 y 343 del Código Orgánico Tributario de 2020, en concordancia con el numeral 1 del artículo 86 de la Ley de Timbres Fiscales del Estado Bolívar por la cantidad total de “</w:t>
      </w:r>
      <w:r w:rsidRPr="00C3762A">
        <w:rPr>
          <w:rFonts w:eastAsia="Times New Roman" w:cs="Times New Roman"/>
          <w:i/>
          <w:iCs/>
          <w:color w:val="000000"/>
          <w:kern w:val="0"/>
          <w:szCs w:val="24"/>
          <w:lang w:eastAsia="es-ES_tradnl"/>
          <w14:ligatures w14:val="none"/>
        </w:rPr>
        <w:t>ochocientas setenta y cinco unidades tributarias (875,00 U.T.)</w:t>
      </w:r>
      <w:r w:rsidRPr="00C3762A">
        <w:rPr>
          <w:rFonts w:eastAsia="Times New Roman" w:cs="Times New Roman"/>
          <w:color w:val="000000"/>
          <w:kern w:val="0"/>
          <w:szCs w:val="24"/>
          <w:lang w:eastAsia="es-ES_tradnl"/>
          <w14:ligatures w14:val="none"/>
        </w:rPr>
        <w:t>”</w:t>
      </w:r>
      <w:r w:rsidRPr="00C3762A">
        <w:rPr>
          <w:rFonts w:eastAsia="Times New Roman" w:cs="Times New Roman"/>
          <w:color w:val="000000"/>
          <w:kern w:val="0"/>
          <w:szCs w:val="24"/>
          <w:lang w:val="es-VE" w:eastAsia="es-ES_tradnl"/>
          <w14:ligatures w14:val="none"/>
        </w:rPr>
        <w:t>, por cuanto el Juzgado </w:t>
      </w:r>
      <w:r w:rsidRPr="00C3762A">
        <w:rPr>
          <w:rFonts w:eastAsia="Times New Roman" w:cs="Times New Roman"/>
          <w:i/>
          <w:iCs/>
          <w:color w:val="000000"/>
          <w:kern w:val="0"/>
          <w:szCs w:val="24"/>
          <w:lang w:val="es-VE" w:eastAsia="es-ES_tradnl"/>
          <w14:ligatures w14:val="none"/>
        </w:rPr>
        <w:t>a quo</w:t>
      </w:r>
      <w:r w:rsidRPr="00C3762A">
        <w:rPr>
          <w:rFonts w:eastAsia="Times New Roman" w:cs="Times New Roman"/>
          <w:color w:val="000000"/>
          <w:kern w:val="0"/>
          <w:szCs w:val="24"/>
          <w:lang w:val="es-VE" w:eastAsia="es-ES_tradnl"/>
          <w14:ligatures w14:val="none"/>
        </w:rPr>
        <w:t> consideró que “(...) </w:t>
      </w:r>
      <w:r w:rsidRPr="00C3762A">
        <w:rPr>
          <w:rFonts w:eastAsia="Times New Roman" w:cs="Times New Roman"/>
          <w:i/>
          <w:iCs/>
          <w:color w:val="000000"/>
          <w:kern w:val="0"/>
          <w:szCs w:val="24"/>
          <w:lang w:eastAsia="es-ES_tradnl"/>
          <w14:ligatures w14:val="none"/>
        </w:rPr>
        <w:t>aplicar la Unidad Tributaria Estadal viola el principio de no retroactividad de la norma consagrado en el artículo 24 de la Constitución de la República Bolivariana de Venezuela y artículo 8 del Decreto Constituyente que dicta el Código Orgánico Tributario </w:t>
      </w:r>
      <w:r w:rsidRPr="00C3762A">
        <w:rPr>
          <w:rFonts w:eastAsia="Times New Roman" w:cs="Times New Roman"/>
          <w:color w:val="000000"/>
          <w:kern w:val="0"/>
          <w:szCs w:val="24"/>
          <w:lang w:eastAsia="es-ES_tradnl"/>
          <w14:ligatures w14:val="none"/>
        </w:rPr>
        <w:t>(...)”.</w:t>
      </w:r>
    </w:p>
    <w:p w14:paraId="6746ED1B" w14:textId="77777777" w:rsidR="00C3762A" w:rsidRPr="00C3762A" w:rsidRDefault="00C3762A" w:rsidP="00C3762A">
      <w:pPr>
        <w:spacing w:line="420" w:lineRule="atLeast"/>
        <w:ind w:firstLine="680"/>
        <w:jc w:val="both"/>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val="es-VE" w:eastAsia="es-ES_tradnl"/>
          <w14:ligatures w14:val="none"/>
        </w:rPr>
        <w:lastRenderedPageBreak/>
        <w:t>Al respecto, esta Sala observa que el Tribunal </w:t>
      </w:r>
      <w:r w:rsidRPr="00C3762A">
        <w:rPr>
          <w:rFonts w:eastAsia="Times New Roman" w:cs="Times New Roman"/>
          <w:i/>
          <w:iCs/>
          <w:color w:val="000000"/>
          <w:kern w:val="0"/>
          <w:szCs w:val="24"/>
          <w:lang w:val="es-VE" w:eastAsia="es-ES_tradnl"/>
          <w14:ligatures w14:val="none"/>
        </w:rPr>
        <w:t>a quo </w:t>
      </w:r>
      <w:r w:rsidRPr="00C3762A">
        <w:rPr>
          <w:rFonts w:eastAsia="Times New Roman" w:cs="Times New Roman"/>
          <w:color w:val="000000"/>
          <w:kern w:val="0"/>
          <w:szCs w:val="24"/>
          <w:lang w:val="es-VE" w:eastAsia="es-ES_tradnl"/>
          <w14:ligatures w14:val="none"/>
        </w:rPr>
        <w:t>estableció, en su decisión lo siguiente:</w:t>
      </w:r>
    </w:p>
    <w:p w14:paraId="27031BA6" w14:textId="77777777" w:rsidR="00C3762A" w:rsidRPr="00C3762A" w:rsidRDefault="00C3762A" w:rsidP="00C3762A">
      <w:pPr>
        <w:ind w:left="1134" w:right="907" w:firstLine="0"/>
        <w:jc w:val="both"/>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val="es-VE" w:eastAsia="es-ES_tradnl"/>
          <w14:ligatures w14:val="none"/>
        </w:rPr>
        <w:t>“(…) </w:t>
      </w:r>
      <w:r w:rsidRPr="00C3762A">
        <w:rPr>
          <w:rFonts w:eastAsia="Times New Roman" w:cs="Times New Roman"/>
          <w:i/>
          <w:iCs/>
          <w:color w:val="000000"/>
          <w:kern w:val="0"/>
          <w:szCs w:val="24"/>
          <w:lang w:val="es-VE" w:eastAsia="es-ES_tradnl"/>
          <w14:ligatures w14:val="none"/>
        </w:rPr>
        <w:t>El primer punto debatido por las partes, está relacionado con la denuncia efectuada por la representación judicial de la contribuyente, relacionada a la presunta aplicación irretroactiva del valor del tipo de cambio para el cálculo de las multas por aplicación del artículo 91 del Código Orgánico Tributario de 2020 y en la Ley de Reforma de la Ley de Timbre Fiscal del Estado Bolívar del año 2022 a ilícitos tributarios causados bajo el imperio de la Ley de Timbre Fiscal del Estado Bolívar del 2018.</w:t>
      </w:r>
    </w:p>
    <w:p w14:paraId="3D4865EE" w14:textId="77777777" w:rsidR="00C3762A" w:rsidRPr="00C3762A" w:rsidRDefault="00C3762A" w:rsidP="00C3762A">
      <w:pPr>
        <w:ind w:left="1134" w:right="907" w:firstLine="0"/>
        <w:jc w:val="center"/>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val="es-VE" w:eastAsia="es-ES_tradnl"/>
          <w14:ligatures w14:val="none"/>
        </w:rPr>
        <w:t>(…Omissis…)</w:t>
      </w:r>
    </w:p>
    <w:p w14:paraId="1D7B1EE6" w14:textId="77777777" w:rsidR="00C3762A" w:rsidRPr="00C3762A" w:rsidRDefault="00C3762A" w:rsidP="00C3762A">
      <w:pPr>
        <w:ind w:left="1134" w:right="907" w:firstLine="0"/>
        <w:jc w:val="both"/>
        <w:rPr>
          <w:rFonts w:eastAsia="Times New Roman" w:cs="Times New Roman"/>
          <w:color w:val="000000"/>
          <w:kern w:val="0"/>
          <w:sz w:val="28"/>
          <w:szCs w:val="28"/>
          <w:lang w:val="es-VE" w:eastAsia="es-ES_tradnl"/>
          <w14:ligatures w14:val="none"/>
        </w:rPr>
      </w:pPr>
      <w:r w:rsidRPr="00C3762A">
        <w:rPr>
          <w:rFonts w:eastAsia="Times New Roman" w:cs="Times New Roman"/>
          <w:i/>
          <w:iCs/>
          <w:color w:val="000000"/>
          <w:kern w:val="0"/>
          <w:szCs w:val="24"/>
          <w:lang w:eastAsia="es-ES_tradnl"/>
          <w14:ligatures w14:val="none"/>
        </w:rPr>
        <w:t xml:space="preserve">Tomando en consideración lo antes citado, en el caso a quo se presenta la situación del cómo aplicar la sanción y el cómo evitar que la misma pierda sus efectos </w:t>
      </w:r>
      <w:proofErr w:type="gramStart"/>
      <w:r w:rsidRPr="00C3762A">
        <w:rPr>
          <w:rFonts w:eastAsia="Times New Roman" w:cs="Times New Roman"/>
          <w:i/>
          <w:iCs/>
          <w:color w:val="000000"/>
          <w:kern w:val="0"/>
          <w:szCs w:val="24"/>
          <w:lang w:eastAsia="es-ES_tradnl"/>
          <w14:ligatures w14:val="none"/>
        </w:rPr>
        <w:t>en razón del</w:t>
      </w:r>
      <w:proofErr w:type="gramEnd"/>
      <w:r w:rsidRPr="00C3762A">
        <w:rPr>
          <w:rFonts w:eastAsia="Times New Roman" w:cs="Times New Roman"/>
          <w:i/>
          <w:iCs/>
          <w:color w:val="000000"/>
          <w:kern w:val="0"/>
          <w:szCs w:val="24"/>
          <w:lang w:eastAsia="es-ES_tradnl"/>
          <w14:ligatures w14:val="none"/>
        </w:rPr>
        <w:t xml:space="preserve"> tiempo y por los efectos de la inflación.</w:t>
      </w:r>
    </w:p>
    <w:p w14:paraId="175D2351" w14:textId="77777777" w:rsidR="00C3762A" w:rsidRPr="00C3762A" w:rsidRDefault="00C3762A" w:rsidP="00C3762A">
      <w:pPr>
        <w:ind w:left="1134" w:right="907" w:firstLine="0"/>
        <w:jc w:val="both"/>
        <w:rPr>
          <w:rFonts w:eastAsia="Times New Roman" w:cs="Times New Roman"/>
          <w:color w:val="000000"/>
          <w:kern w:val="0"/>
          <w:sz w:val="28"/>
          <w:szCs w:val="28"/>
          <w:lang w:val="es-VE" w:eastAsia="es-ES_tradnl"/>
          <w14:ligatures w14:val="none"/>
        </w:rPr>
      </w:pPr>
      <w:r w:rsidRPr="00C3762A">
        <w:rPr>
          <w:rFonts w:eastAsia="Times New Roman" w:cs="Times New Roman"/>
          <w:i/>
          <w:iCs/>
          <w:color w:val="000000"/>
          <w:kern w:val="0"/>
          <w:szCs w:val="24"/>
          <w:lang w:eastAsia="es-ES_tradnl"/>
          <w14:ligatures w14:val="none"/>
        </w:rPr>
        <w:t xml:space="preserve">Ahora </w:t>
      </w:r>
      <w:proofErr w:type="gramStart"/>
      <w:r w:rsidRPr="00C3762A">
        <w:rPr>
          <w:rFonts w:eastAsia="Times New Roman" w:cs="Times New Roman"/>
          <w:i/>
          <w:iCs/>
          <w:color w:val="000000"/>
          <w:kern w:val="0"/>
          <w:szCs w:val="24"/>
          <w:lang w:eastAsia="es-ES_tradnl"/>
          <w14:ligatures w14:val="none"/>
        </w:rPr>
        <w:t>bien</w:t>
      </w:r>
      <w:proofErr w:type="gramEnd"/>
      <w:r w:rsidRPr="00C3762A">
        <w:rPr>
          <w:rFonts w:eastAsia="Times New Roman" w:cs="Times New Roman"/>
          <w:i/>
          <w:iCs/>
          <w:color w:val="000000"/>
          <w:kern w:val="0"/>
          <w:szCs w:val="24"/>
          <w:lang w:eastAsia="es-ES_tradnl"/>
          <w14:ligatures w14:val="none"/>
        </w:rPr>
        <w:t xml:space="preserve"> con relación al ajuste de la sanción en cuanto a su convertibilidad en bolívares digitales, el Decreto Constituyente que dicta el Código Orgánico Tributario en el artículo 346 señala:</w:t>
      </w:r>
    </w:p>
    <w:p w14:paraId="6B209205" w14:textId="77777777" w:rsidR="00C3762A" w:rsidRPr="00C3762A" w:rsidRDefault="00C3762A" w:rsidP="00C3762A">
      <w:pPr>
        <w:ind w:left="1134" w:right="907" w:firstLine="0"/>
        <w:jc w:val="center"/>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val="es-VE" w:eastAsia="es-ES_tradnl"/>
          <w14:ligatures w14:val="none"/>
        </w:rPr>
        <w:t>(…Omissis…)</w:t>
      </w:r>
    </w:p>
    <w:p w14:paraId="5B8EC17A" w14:textId="77777777" w:rsidR="00C3762A" w:rsidRPr="00C3762A" w:rsidRDefault="00C3762A" w:rsidP="00C3762A">
      <w:pPr>
        <w:ind w:left="1134" w:right="907" w:firstLine="0"/>
        <w:jc w:val="both"/>
        <w:rPr>
          <w:rFonts w:eastAsia="Times New Roman" w:cs="Times New Roman"/>
          <w:color w:val="000000"/>
          <w:kern w:val="0"/>
          <w:sz w:val="28"/>
          <w:szCs w:val="28"/>
          <w:lang w:val="es-VE" w:eastAsia="es-ES_tradnl"/>
          <w14:ligatures w14:val="none"/>
        </w:rPr>
      </w:pPr>
      <w:r w:rsidRPr="00C3762A">
        <w:rPr>
          <w:rFonts w:eastAsia="Times New Roman" w:cs="Times New Roman"/>
          <w:i/>
          <w:iCs/>
          <w:color w:val="000000"/>
          <w:kern w:val="0"/>
          <w:szCs w:val="24"/>
          <w:lang w:eastAsia="es-ES_tradnl"/>
          <w14:ligatures w14:val="none"/>
        </w:rPr>
        <w:t xml:space="preserve">De acuerdo con lo establecido en este artículo, esta fórmula es improcedente aplicarla, por dos razones legales: En primer lugar por ser incompatibles las unidades de medida, el </w:t>
      </w:r>
      <w:proofErr w:type="spellStart"/>
      <w:r w:rsidRPr="00C3762A">
        <w:rPr>
          <w:rFonts w:eastAsia="Times New Roman" w:cs="Times New Roman"/>
          <w:i/>
          <w:iCs/>
          <w:color w:val="000000"/>
          <w:kern w:val="0"/>
          <w:szCs w:val="24"/>
          <w:lang w:eastAsia="es-ES_tradnl"/>
          <w14:ligatures w14:val="none"/>
        </w:rPr>
        <w:t>articulo</w:t>
      </w:r>
      <w:proofErr w:type="spellEnd"/>
      <w:r w:rsidRPr="00C3762A">
        <w:rPr>
          <w:rFonts w:eastAsia="Times New Roman" w:cs="Times New Roman"/>
          <w:i/>
          <w:iCs/>
          <w:color w:val="000000"/>
          <w:kern w:val="0"/>
          <w:szCs w:val="24"/>
          <w:lang w:eastAsia="es-ES_tradnl"/>
          <w14:ligatures w14:val="none"/>
        </w:rPr>
        <w:t xml:space="preserve"> en referencia establece un ajuste cuando la multa este expresada en la moneda de mayor valor publicada por el Banco Central de Venezuela, la multa fue calculada en Unidades Tributarias atendiendo al dispositivo sancionador contenido en la Ley de Timbre Fiscal del Estado Bolívar de 2018, y la Administración Tributaria Estadal la ancló a la Unidad Tributaria Estadal para los efectos del ajuste de la multa en consideración a la fecha de pago. En segundo lugar, aplicar la Unidad Tributaria Estadal viola el principio de no retroactividad de la norma consagrado en el artículo 24 de la Constitución de la República Bolivariana de Venezuela y artículo 8 del Decreto Constituyente que dicta el Código Orgánico Tributario, ya que el dispositivo que establece la aplicación de la Unidad Tributaria Estadal se encuentra contenido en la Ley de Timbre Fiscal del Estado Bolívar publicada en Gaceta Oficial Ordinaria del Estado Bolívar N° 2.766, de fecha 24 de Enero de 2022. y los ilícitos tributarios se materializaron a partir del 1 de enero de los años 2019, 2020 y 2021. </w:t>
      </w:r>
    </w:p>
    <w:p w14:paraId="0EA1424F" w14:textId="77777777" w:rsidR="00C3762A" w:rsidRPr="00C3762A" w:rsidRDefault="00C3762A" w:rsidP="00C3762A">
      <w:pPr>
        <w:ind w:left="1134" w:right="907" w:firstLine="0"/>
        <w:jc w:val="center"/>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eastAsia="es-ES_tradnl"/>
          <w14:ligatures w14:val="none"/>
        </w:rPr>
        <w:t>(…)</w:t>
      </w:r>
    </w:p>
    <w:p w14:paraId="5B799422" w14:textId="77777777" w:rsidR="00C3762A" w:rsidRPr="00C3762A" w:rsidRDefault="00C3762A" w:rsidP="00C3762A">
      <w:pPr>
        <w:ind w:left="1134" w:right="907" w:firstLine="0"/>
        <w:jc w:val="both"/>
        <w:rPr>
          <w:rFonts w:eastAsia="Times New Roman" w:cs="Times New Roman"/>
          <w:color w:val="000000"/>
          <w:kern w:val="0"/>
          <w:sz w:val="28"/>
          <w:szCs w:val="28"/>
          <w:lang w:val="es-VE" w:eastAsia="es-ES_tradnl"/>
          <w14:ligatures w14:val="none"/>
        </w:rPr>
      </w:pPr>
      <w:r w:rsidRPr="00C3762A">
        <w:rPr>
          <w:rFonts w:eastAsia="Times New Roman" w:cs="Times New Roman"/>
          <w:i/>
          <w:iCs/>
          <w:color w:val="000000"/>
          <w:kern w:val="0"/>
          <w:szCs w:val="24"/>
          <w:lang w:val="es-VE" w:eastAsia="es-ES_tradnl"/>
          <w14:ligatures w14:val="none"/>
        </w:rPr>
        <w:t xml:space="preserve">En el caso a quo, la Administración Tributaria Estadal ante la inobservancia del dispositivo contenido en el artículo 346 del Decreto Constituyente que dicta el Código Orgánico Tributario de 2020, lo cual provocó un retardo legislativo, acudió a la aplicación errada del </w:t>
      </w:r>
      <w:r w:rsidRPr="00C3762A">
        <w:rPr>
          <w:rFonts w:eastAsia="Times New Roman" w:cs="Times New Roman"/>
          <w:i/>
          <w:iCs/>
          <w:color w:val="000000"/>
          <w:kern w:val="0"/>
          <w:szCs w:val="24"/>
          <w:lang w:val="es-VE" w:eastAsia="es-ES_tradnl"/>
          <w14:ligatures w14:val="none"/>
        </w:rPr>
        <w:lastRenderedPageBreak/>
        <w:t>dispositivo contenido en el artículo 91 de la norma In Comento, el cual de acuerdo con el análisis efectuado ut supra. es de imposible aplicación: en razón de ello, este Tribunal Superior de lo Contencioso Tributario considera que el procedimiento de determinación de la sanción vulnera el principio constitucional de la no retroactividad de la norma, además de la errada aplicación del derecho al supuesto de hecho, aunado a una cerrada apreciación de los hechos. lo cual forzosamente vicia de nulidad absoluta al acto administrativo. </w:t>
      </w:r>
      <w:r w:rsidRPr="00C3762A">
        <w:rPr>
          <w:rFonts w:eastAsia="Times New Roman" w:cs="Times New Roman"/>
          <w:b/>
          <w:bCs/>
          <w:i/>
          <w:iCs/>
          <w:color w:val="000000"/>
          <w:kern w:val="0"/>
          <w:szCs w:val="24"/>
          <w:lang w:val="es-VE" w:eastAsia="es-ES_tradnl"/>
          <w14:ligatures w14:val="none"/>
        </w:rPr>
        <w:t>Así se decide </w:t>
      </w:r>
      <w:r w:rsidRPr="00C3762A">
        <w:rPr>
          <w:rFonts w:eastAsia="Times New Roman" w:cs="Times New Roman"/>
          <w:color w:val="000000"/>
          <w:kern w:val="0"/>
          <w:szCs w:val="24"/>
          <w:lang w:val="es-VE" w:eastAsia="es-ES_tradnl"/>
          <w14:ligatures w14:val="none"/>
        </w:rPr>
        <w:t>(…)”.</w:t>
      </w:r>
    </w:p>
    <w:p w14:paraId="6234C879" w14:textId="77777777" w:rsidR="00C3762A" w:rsidRPr="00C3762A" w:rsidRDefault="00C3762A" w:rsidP="00C3762A">
      <w:pPr>
        <w:spacing w:line="420" w:lineRule="atLeast"/>
        <w:ind w:firstLine="680"/>
        <w:jc w:val="both"/>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val="es-VE" w:eastAsia="es-ES_tradnl"/>
          <w14:ligatures w14:val="none"/>
        </w:rPr>
        <w:t>Ahora bien, este Máximo Tribunal observa que la Administración Tributaria Estadal, al momento de resolver el dispositivo de la </w:t>
      </w:r>
      <w:r w:rsidRPr="00C3762A">
        <w:rPr>
          <w:rFonts w:eastAsia="Times New Roman" w:cs="Times New Roman"/>
          <w:color w:val="000000"/>
          <w:kern w:val="0"/>
          <w:szCs w:val="24"/>
          <w:lang w:eastAsia="es-ES_tradnl"/>
          <w14:ligatures w14:val="none"/>
        </w:rPr>
        <w:t>“</w:t>
      </w:r>
      <w:r w:rsidRPr="00C3762A">
        <w:rPr>
          <w:rFonts w:eastAsia="Times New Roman" w:cs="Times New Roman"/>
          <w:i/>
          <w:iCs/>
          <w:color w:val="000000"/>
          <w:kern w:val="0"/>
          <w:szCs w:val="24"/>
          <w:lang w:eastAsia="es-ES_tradnl"/>
          <w14:ligatures w14:val="none"/>
        </w:rPr>
        <w:t>Resolución de Imposición de Sanción por Incumplimientos de Deberes Formales identificada con el Nro. GEB/SAF/SAT/SATEEB/DD/ GIF/DV/002/2022</w:t>
      </w:r>
      <w:r w:rsidRPr="00C3762A">
        <w:rPr>
          <w:rFonts w:eastAsia="Times New Roman" w:cs="Times New Roman"/>
          <w:color w:val="000000"/>
          <w:kern w:val="0"/>
          <w:szCs w:val="24"/>
          <w:lang w:eastAsia="es-ES_tradnl"/>
          <w14:ligatures w14:val="none"/>
        </w:rPr>
        <w:t>”, dictada el 25 de marzo de 20022, indicó lo siguiente:</w:t>
      </w:r>
    </w:p>
    <w:p w14:paraId="1DFBA7EB" w14:textId="77777777" w:rsidR="00C3762A" w:rsidRPr="00C3762A" w:rsidRDefault="00C3762A" w:rsidP="00C3762A">
      <w:pPr>
        <w:ind w:left="1134" w:right="907" w:firstLine="0"/>
        <w:jc w:val="both"/>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eastAsia="es-ES_tradnl"/>
          <w14:ligatures w14:val="none"/>
        </w:rPr>
        <w:t>“(...) </w:t>
      </w:r>
      <w:r w:rsidRPr="00C3762A">
        <w:rPr>
          <w:rFonts w:eastAsia="Times New Roman" w:cs="Times New Roman"/>
          <w:i/>
          <w:iCs/>
          <w:color w:val="000000"/>
          <w:kern w:val="0"/>
          <w:szCs w:val="24"/>
          <w:lang w:eastAsia="es-ES_tradnl"/>
          <w14:ligatures w14:val="none"/>
        </w:rPr>
        <w:t>se procede a la graduación e imposición de sanción(es) en cumplimiento de lo establecido en el Decreto Constituyente que Dicta el Código Orgánico Tributario de fecha 29 de enero 2.020 (D.C.</w:t>
      </w:r>
      <w:proofErr w:type="gramStart"/>
      <w:r w:rsidRPr="00C3762A">
        <w:rPr>
          <w:rFonts w:eastAsia="Times New Roman" w:cs="Times New Roman"/>
          <w:i/>
          <w:iCs/>
          <w:color w:val="000000"/>
          <w:kern w:val="0"/>
          <w:szCs w:val="24"/>
          <w:lang w:eastAsia="es-ES_tradnl"/>
          <w14:ligatures w14:val="none"/>
        </w:rPr>
        <w:t>C.OT</w:t>
      </w:r>
      <w:proofErr w:type="gramEnd"/>
      <w:r w:rsidRPr="00C3762A">
        <w:rPr>
          <w:rFonts w:eastAsia="Times New Roman" w:cs="Times New Roman"/>
          <w:i/>
          <w:iCs/>
          <w:color w:val="000000"/>
          <w:kern w:val="0"/>
          <w:szCs w:val="24"/>
          <w:lang w:eastAsia="es-ES_tradnl"/>
          <w14:ligatures w14:val="none"/>
        </w:rPr>
        <w:t xml:space="preserve">) en sus artículos 82 y 343, concordante con el artículo 86 numeral 1 de la Ley de Timbre Fiscal del Estado Bolívar </w:t>
      </w:r>
      <w:proofErr w:type="spellStart"/>
      <w:r w:rsidRPr="00C3762A">
        <w:rPr>
          <w:rFonts w:eastAsia="Times New Roman" w:cs="Times New Roman"/>
          <w:i/>
          <w:iCs/>
          <w:color w:val="000000"/>
          <w:kern w:val="0"/>
          <w:szCs w:val="24"/>
          <w:lang w:eastAsia="es-ES_tradnl"/>
          <w14:ligatures w14:val="none"/>
        </w:rPr>
        <w:t>ratione</w:t>
      </w:r>
      <w:proofErr w:type="spellEnd"/>
      <w:r w:rsidRPr="00C3762A">
        <w:rPr>
          <w:rFonts w:eastAsia="Times New Roman" w:cs="Times New Roman"/>
          <w:i/>
          <w:iCs/>
          <w:color w:val="000000"/>
          <w:kern w:val="0"/>
          <w:szCs w:val="24"/>
          <w:lang w:eastAsia="es-ES_tradnl"/>
          <w14:ligatures w14:val="none"/>
        </w:rPr>
        <w:t xml:space="preserve"> </w:t>
      </w:r>
      <w:proofErr w:type="spellStart"/>
      <w:r w:rsidRPr="00C3762A">
        <w:rPr>
          <w:rFonts w:eastAsia="Times New Roman" w:cs="Times New Roman"/>
          <w:i/>
          <w:iCs/>
          <w:color w:val="000000"/>
          <w:kern w:val="0"/>
          <w:szCs w:val="24"/>
          <w:lang w:eastAsia="es-ES_tradnl"/>
          <w14:ligatures w14:val="none"/>
        </w:rPr>
        <w:t>temporis</w:t>
      </w:r>
      <w:proofErr w:type="spellEnd"/>
      <w:r w:rsidRPr="00C3762A">
        <w:rPr>
          <w:rFonts w:eastAsia="Times New Roman" w:cs="Times New Roman"/>
          <w:i/>
          <w:iCs/>
          <w:color w:val="000000"/>
          <w:kern w:val="0"/>
          <w:szCs w:val="24"/>
          <w:lang w:eastAsia="es-ES_tradnl"/>
          <w14:ligatures w14:val="none"/>
        </w:rPr>
        <w:t> </w:t>
      </w:r>
      <w:r w:rsidRPr="00C3762A">
        <w:rPr>
          <w:rFonts w:eastAsia="Times New Roman" w:cs="Times New Roman"/>
          <w:color w:val="000000"/>
          <w:kern w:val="0"/>
          <w:szCs w:val="24"/>
          <w:lang w:eastAsia="es-ES_tradnl"/>
          <w14:ligatures w14:val="none"/>
        </w:rPr>
        <w:t>(...)</w:t>
      </w:r>
    </w:p>
    <w:p w14:paraId="5A65B3AB" w14:textId="77777777" w:rsidR="00C3762A" w:rsidRPr="00C3762A" w:rsidRDefault="00C3762A" w:rsidP="00C3762A">
      <w:pPr>
        <w:ind w:left="1134" w:right="907" w:firstLine="0"/>
        <w:jc w:val="center"/>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eastAsia="es-ES_tradnl"/>
          <w14:ligatures w14:val="none"/>
        </w:rPr>
        <w:t>(...</w:t>
      </w:r>
      <w:proofErr w:type="spellStart"/>
      <w:r w:rsidRPr="00C3762A">
        <w:rPr>
          <w:rFonts w:eastAsia="Times New Roman" w:cs="Times New Roman"/>
          <w:color w:val="000000"/>
          <w:kern w:val="0"/>
          <w:szCs w:val="24"/>
          <w:lang w:eastAsia="es-ES_tradnl"/>
          <w14:ligatures w14:val="none"/>
        </w:rPr>
        <w:t>Omissis</w:t>
      </w:r>
      <w:proofErr w:type="spellEnd"/>
      <w:r w:rsidRPr="00C3762A">
        <w:rPr>
          <w:rFonts w:eastAsia="Times New Roman" w:cs="Times New Roman"/>
          <w:color w:val="000000"/>
          <w:kern w:val="0"/>
          <w:szCs w:val="24"/>
          <w:lang w:eastAsia="es-ES_tradnl"/>
          <w14:ligatures w14:val="none"/>
        </w:rPr>
        <w:t>...)</w:t>
      </w:r>
    </w:p>
    <w:p w14:paraId="0AAA8409" w14:textId="77777777" w:rsidR="00C3762A" w:rsidRPr="00C3762A" w:rsidRDefault="00C3762A" w:rsidP="00C3762A">
      <w:pPr>
        <w:ind w:left="1134" w:right="907" w:firstLine="0"/>
        <w:jc w:val="both"/>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eastAsia="es-ES_tradnl"/>
          <w14:ligatures w14:val="none"/>
        </w:rPr>
        <w:t> (…) </w:t>
      </w:r>
      <w:r w:rsidRPr="00C3762A">
        <w:rPr>
          <w:rFonts w:eastAsia="Times New Roman" w:cs="Times New Roman"/>
          <w:i/>
          <w:iCs/>
          <w:color w:val="000000"/>
          <w:kern w:val="0"/>
          <w:szCs w:val="24"/>
          <w:lang w:eastAsia="es-ES_tradnl"/>
          <w14:ligatures w14:val="none"/>
        </w:rPr>
        <w:t>Proceder a sancionar al sujeto pasivo </w:t>
      </w:r>
      <w:r w:rsidRPr="00C3762A">
        <w:rPr>
          <w:rFonts w:eastAsia="Times New Roman" w:cs="Times New Roman"/>
          <w:b/>
          <w:bCs/>
          <w:i/>
          <w:iCs/>
          <w:color w:val="000000"/>
          <w:kern w:val="0"/>
          <w:szCs w:val="24"/>
          <w:lang w:eastAsia="es-ES_tradnl"/>
          <w14:ligatures w14:val="none"/>
        </w:rPr>
        <w:t>LICORES LA ORQUIDEA, C.A., RIF J-30027457-8, CON LICENCIA PARA EXPENDIO DE LICORES N°: MY-149 Y MN-323 </w:t>
      </w:r>
      <w:r w:rsidRPr="00C3762A">
        <w:rPr>
          <w:rFonts w:eastAsia="Times New Roman" w:cs="Times New Roman"/>
          <w:i/>
          <w:iCs/>
          <w:color w:val="000000"/>
          <w:kern w:val="0"/>
          <w:szCs w:val="24"/>
          <w:lang w:eastAsia="es-ES_tradnl"/>
          <w14:ligatures w14:val="none"/>
        </w:rPr>
        <w:t>y con multa total de </w:t>
      </w:r>
      <w:r w:rsidRPr="00C3762A">
        <w:rPr>
          <w:rFonts w:eastAsia="Times New Roman" w:cs="Times New Roman"/>
          <w:b/>
          <w:bCs/>
          <w:i/>
          <w:iCs/>
          <w:color w:val="000000"/>
          <w:kern w:val="0"/>
          <w:szCs w:val="24"/>
          <w:lang w:eastAsia="es-ES_tradnl"/>
          <w14:ligatures w14:val="none"/>
        </w:rPr>
        <w:t>OCHOCIENTAS SETENTA Y CINCO UNIDADES TRIBUTARIAS (875 U.T.)</w:t>
      </w:r>
      <w:r w:rsidRPr="00C3762A">
        <w:rPr>
          <w:rFonts w:eastAsia="Times New Roman" w:cs="Times New Roman"/>
          <w:i/>
          <w:iCs/>
          <w:color w:val="000000"/>
          <w:kern w:val="0"/>
          <w:szCs w:val="24"/>
          <w:lang w:eastAsia="es-ES_tradnl"/>
          <w14:ligatures w14:val="none"/>
        </w:rPr>
        <w:t> actualmente Unidades Tributarias Estadales, convertidas en Bolívares al valor de las mismas para el momento del pago, actualmente Bs. </w:t>
      </w:r>
      <w:r w:rsidRPr="00C3762A">
        <w:rPr>
          <w:rFonts w:eastAsia="Times New Roman" w:cs="Times New Roman"/>
          <w:b/>
          <w:bCs/>
          <w:i/>
          <w:iCs/>
          <w:color w:val="000000"/>
          <w:kern w:val="0"/>
          <w:szCs w:val="24"/>
          <w:lang w:eastAsia="es-ES_tradnl"/>
          <w14:ligatures w14:val="none"/>
        </w:rPr>
        <w:t>0.80 Bs </w:t>
      </w:r>
      <w:r w:rsidRPr="00C3762A">
        <w:rPr>
          <w:rFonts w:eastAsia="Times New Roman" w:cs="Times New Roman"/>
          <w:i/>
          <w:iCs/>
          <w:color w:val="000000"/>
          <w:kern w:val="0"/>
          <w:szCs w:val="24"/>
          <w:lang w:eastAsia="es-ES_tradnl"/>
          <w14:ligatures w14:val="none"/>
        </w:rPr>
        <w:t>por U.T.E., es decir, </w:t>
      </w:r>
      <w:r w:rsidRPr="00C3762A">
        <w:rPr>
          <w:rFonts w:eastAsia="Times New Roman" w:cs="Times New Roman"/>
          <w:b/>
          <w:bCs/>
          <w:i/>
          <w:iCs/>
          <w:color w:val="000000"/>
          <w:kern w:val="0"/>
          <w:szCs w:val="24"/>
          <w:lang w:eastAsia="es-ES_tradnl"/>
          <w14:ligatures w14:val="none"/>
        </w:rPr>
        <w:t>SETECIENTOS BOLÍVARES DIGITALES (Bs. 700,00) </w:t>
      </w:r>
      <w:r w:rsidRPr="00C3762A">
        <w:rPr>
          <w:rFonts w:eastAsia="Times New Roman" w:cs="Times New Roman"/>
          <w:i/>
          <w:iCs/>
          <w:color w:val="000000"/>
          <w:kern w:val="0"/>
          <w:szCs w:val="24"/>
          <w:lang w:eastAsia="es-ES_tradnl"/>
          <w14:ligatures w14:val="none"/>
        </w:rPr>
        <w:t>de conformidad con lo previsto en el artículo 91 del Decreto Constituyente que dicta el Código Orgánico Tributario de fecha 29 de enero de 2020 y sin perjuicio de las sanciones que puedan imponerse en posteriores actos administrativos por la comisión de otros ilícitos detectados en el presente procedimiento </w:t>
      </w:r>
      <w:r w:rsidRPr="00C3762A">
        <w:rPr>
          <w:rFonts w:eastAsia="Times New Roman" w:cs="Times New Roman"/>
          <w:color w:val="000000"/>
          <w:kern w:val="0"/>
          <w:szCs w:val="24"/>
          <w:lang w:eastAsia="es-ES_tradnl"/>
          <w14:ligatures w14:val="none"/>
        </w:rPr>
        <w:t>(…)”. (Resaltados de la cita).</w:t>
      </w:r>
    </w:p>
    <w:p w14:paraId="4A9809BD" w14:textId="77777777" w:rsidR="00C3762A" w:rsidRPr="00C3762A" w:rsidRDefault="00C3762A" w:rsidP="00C3762A">
      <w:pPr>
        <w:spacing w:line="420" w:lineRule="atLeast"/>
        <w:ind w:firstLine="680"/>
        <w:jc w:val="both"/>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val="es-VE" w:eastAsia="es-ES_tradnl"/>
          <w14:ligatures w14:val="none"/>
        </w:rPr>
        <w:t>Precisado lo anterior, esta Alzada aprecia que en la Resolución antes citada, dicho órgano exactor incurrió en una imprecisión, ya que, si bien es cierto, que fue mencionado al artículo 91 del Código Orgánico Tributario de 2020, no es menos cierto, que el cálculo realizado por el ente estadal respecto al pago de la multa, está referido al artículo 91 pero del Código Orgánico Tributario de 2014, aplicable </w:t>
      </w:r>
      <w:r w:rsidRPr="00C3762A">
        <w:rPr>
          <w:rFonts w:eastAsia="Times New Roman" w:cs="Times New Roman"/>
          <w:i/>
          <w:iCs/>
          <w:color w:val="000000"/>
          <w:kern w:val="0"/>
          <w:szCs w:val="24"/>
          <w:lang w:val="es-VE" w:eastAsia="es-ES_tradnl"/>
          <w14:ligatures w14:val="none"/>
        </w:rPr>
        <w:t>ratione temporis</w:t>
      </w:r>
      <w:r w:rsidRPr="00C3762A">
        <w:rPr>
          <w:rFonts w:eastAsia="Times New Roman" w:cs="Times New Roman"/>
          <w:color w:val="000000"/>
          <w:kern w:val="0"/>
          <w:szCs w:val="24"/>
          <w:lang w:val="es-VE" w:eastAsia="es-ES_tradnl"/>
          <w14:ligatures w14:val="none"/>
        </w:rPr>
        <w:t xml:space="preserve">, por cuanto, en el referido acto administrativo fue calculada la sanción de multa aplicada en unidades tributarias, en </w:t>
      </w:r>
      <w:r w:rsidRPr="00C3762A">
        <w:rPr>
          <w:rFonts w:eastAsia="Times New Roman" w:cs="Times New Roman"/>
          <w:color w:val="000000"/>
          <w:kern w:val="0"/>
          <w:szCs w:val="24"/>
          <w:lang w:val="es-VE" w:eastAsia="es-ES_tradnl"/>
          <w14:ligatures w14:val="none"/>
        </w:rPr>
        <w:lastRenderedPageBreak/>
        <w:t>concordancia con el artículo 86 numeral 1 de la Ley de Timbre Fiscal del Estado Bolívar del 2018, vigente para los </w:t>
      </w:r>
      <w:r w:rsidRPr="00C3762A">
        <w:rPr>
          <w:rFonts w:eastAsia="Times New Roman" w:cs="Times New Roman"/>
          <w:color w:val="000000"/>
          <w:kern w:val="0"/>
          <w:szCs w:val="24"/>
          <w:lang w:eastAsia="es-ES_tradnl"/>
          <w14:ligatures w14:val="none"/>
        </w:rPr>
        <w:t>ejercicios fiscales 2019, 2020 y 2021.</w:t>
      </w:r>
    </w:p>
    <w:p w14:paraId="45BA618A" w14:textId="77777777" w:rsidR="00C3762A" w:rsidRPr="00C3762A" w:rsidRDefault="00C3762A" w:rsidP="00C3762A">
      <w:pPr>
        <w:spacing w:line="420" w:lineRule="atLeast"/>
        <w:ind w:firstLine="680"/>
        <w:jc w:val="both"/>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eastAsia="es-ES_tradnl"/>
          <w14:ligatures w14:val="none"/>
        </w:rPr>
        <w:t>Aunado a lo antes expuesto, advierte esta Sala que el Juez de mérito erró en su pronunciamiento, al considerar que el prenombrado ente exactor aplicó en el acto administrativo impugnado la “</w:t>
      </w:r>
      <w:r w:rsidRPr="00C3762A">
        <w:rPr>
          <w:rFonts w:eastAsia="Times New Roman" w:cs="Times New Roman"/>
          <w:i/>
          <w:iCs/>
          <w:color w:val="000000"/>
          <w:kern w:val="0"/>
          <w:szCs w:val="24"/>
          <w:lang w:val="es-VE" w:eastAsia="es-ES_tradnl"/>
          <w14:ligatures w14:val="none"/>
        </w:rPr>
        <w:t>Ley de Reforma de la Ley de Timbre Fiscal del Estado Bolívar del año 2022</w:t>
      </w:r>
      <w:r w:rsidRPr="00C3762A">
        <w:rPr>
          <w:rFonts w:eastAsia="Times New Roman" w:cs="Times New Roman"/>
          <w:color w:val="000000"/>
          <w:kern w:val="0"/>
          <w:szCs w:val="24"/>
          <w:lang w:val="es-VE" w:eastAsia="es-ES_tradnl"/>
          <w14:ligatures w14:val="none"/>
        </w:rPr>
        <w:t>”, por cuanto, si bien es cierto, se constata tal imprecisión, no fue analizado el cálculo efectuado a los fines de determinar las sanciones antes descritas, lo que conllevó en un error de juzgamiento.</w:t>
      </w:r>
    </w:p>
    <w:p w14:paraId="1A3CC8B9" w14:textId="77777777" w:rsidR="00C3762A" w:rsidRPr="00C3762A" w:rsidRDefault="00C3762A" w:rsidP="00C3762A">
      <w:pPr>
        <w:spacing w:line="420" w:lineRule="atLeast"/>
        <w:ind w:firstLine="680"/>
        <w:jc w:val="both"/>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val="es-VE" w:eastAsia="es-ES_tradnl"/>
          <w14:ligatures w14:val="none"/>
        </w:rPr>
        <w:t>Por consiguiente, esta Superioridad considera necesario resaltar que es evidente que en ningún momento fue violado el principio constitucional de la no retroactividad de la norma, por lo que, se debe concluir en lo que a este punto se refiere </w:t>
      </w:r>
      <w:r w:rsidRPr="00C3762A">
        <w:rPr>
          <w:rFonts w:eastAsia="Times New Roman" w:cs="Times New Roman"/>
          <w:color w:val="000000"/>
          <w:kern w:val="0"/>
          <w:szCs w:val="24"/>
          <w:lang w:eastAsia="es-ES_tradnl"/>
          <w14:ligatures w14:val="none"/>
        </w:rPr>
        <w:t>que no se quebrantó en modo alguno el procedimiento, motivo por el cual, esta Sala</w:t>
      </w:r>
      <w:r w:rsidRPr="00C3762A">
        <w:rPr>
          <w:rFonts w:eastAsia="Times New Roman" w:cs="Times New Roman"/>
          <w:color w:val="000000"/>
          <w:kern w:val="0"/>
          <w:szCs w:val="24"/>
          <w:lang w:val="es-VE" w:eastAsia="es-ES_tradnl"/>
          <w14:ligatures w14:val="none"/>
        </w:rPr>
        <w:t> conociendo en consulta  </w:t>
      </w:r>
      <w:r w:rsidRPr="00C3762A">
        <w:rPr>
          <w:rFonts w:eastAsia="Times New Roman" w:cs="Times New Roman"/>
          <w:b/>
          <w:bCs/>
          <w:color w:val="000000"/>
          <w:kern w:val="0"/>
          <w:szCs w:val="24"/>
          <w:lang w:eastAsia="es-ES_tradnl"/>
          <w14:ligatures w14:val="none"/>
        </w:rPr>
        <w:t>revoca </w:t>
      </w:r>
      <w:r w:rsidRPr="00C3762A">
        <w:rPr>
          <w:rFonts w:eastAsia="Times New Roman" w:cs="Times New Roman"/>
          <w:color w:val="000000"/>
          <w:kern w:val="0"/>
          <w:szCs w:val="24"/>
          <w:lang w:eastAsia="es-ES_tradnl"/>
          <w14:ligatures w14:val="none"/>
        </w:rPr>
        <w:t>el pronunciamiento del Tribunal de instancia referido al falso supuesto de hecho por la “</w:t>
      </w:r>
      <w:r w:rsidRPr="00C3762A">
        <w:rPr>
          <w:rFonts w:eastAsia="Times New Roman" w:cs="Times New Roman"/>
          <w:i/>
          <w:iCs/>
          <w:color w:val="000000"/>
          <w:kern w:val="0"/>
          <w:szCs w:val="24"/>
          <w:lang w:val="es-VE" w:eastAsia="es-ES_tradnl"/>
          <w14:ligatures w14:val="none"/>
        </w:rPr>
        <w:t>presunta aplicación irretroactiva del valor del tipo de cambio para el cálculo de las multas</w:t>
      </w:r>
      <w:r w:rsidRPr="00C3762A">
        <w:rPr>
          <w:rFonts w:eastAsia="Times New Roman" w:cs="Times New Roman"/>
          <w:color w:val="000000"/>
          <w:kern w:val="0"/>
          <w:szCs w:val="24"/>
          <w:lang w:val="es-VE" w:eastAsia="es-ES_tradnl"/>
          <w14:ligatures w14:val="none"/>
        </w:rPr>
        <w:t>” alegado por la representación en juicio de la contribuyente</w:t>
      </w:r>
      <w:r w:rsidRPr="00C3762A">
        <w:rPr>
          <w:rFonts w:eastAsia="Times New Roman" w:cs="Times New Roman"/>
          <w:color w:val="000000"/>
          <w:kern w:val="0"/>
          <w:szCs w:val="24"/>
          <w:lang w:eastAsia="es-ES_tradnl"/>
          <w14:ligatures w14:val="none"/>
        </w:rPr>
        <w:t>. </w:t>
      </w:r>
      <w:r w:rsidRPr="00C3762A">
        <w:rPr>
          <w:rFonts w:eastAsia="Times New Roman" w:cs="Times New Roman"/>
          <w:b/>
          <w:bCs/>
          <w:color w:val="000000"/>
          <w:kern w:val="0"/>
          <w:szCs w:val="24"/>
          <w:lang w:eastAsia="es-ES_tradnl"/>
          <w14:ligatures w14:val="none"/>
        </w:rPr>
        <w:t>Así se declara.</w:t>
      </w:r>
    </w:p>
    <w:p w14:paraId="28ED0FAA" w14:textId="77777777" w:rsidR="00C3762A" w:rsidRPr="00C3762A" w:rsidRDefault="00C3762A" w:rsidP="00C3762A">
      <w:pPr>
        <w:spacing w:line="420" w:lineRule="atLeast"/>
        <w:ind w:firstLine="680"/>
        <w:jc w:val="both"/>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val="es-ES_tradnl" w:eastAsia="es-ES_tradnl"/>
          <w14:ligatures w14:val="none"/>
        </w:rPr>
        <w:t>En consecuencia, se declara </w:t>
      </w:r>
      <w:r w:rsidRPr="00C3762A">
        <w:rPr>
          <w:rFonts w:eastAsia="Times New Roman" w:cs="Times New Roman"/>
          <w:b/>
          <w:bCs/>
          <w:color w:val="000000"/>
          <w:kern w:val="0"/>
          <w:szCs w:val="24"/>
          <w:lang w:val="es-ES_tradnl" w:eastAsia="es-ES_tradnl"/>
          <w14:ligatures w14:val="none"/>
        </w:rPr>
        <w:t>sin lugar</w:t>
      </w:r>
      <w:r w:rsidRPr="00C3762A">
        <w:rPr>
          <w:rFonts w:eastAsia="Times New Roman" w:cs="Times New Roman"/>
          <w:color w:val="000000"/>
          <w:kern w:val="0"/>
          <w:szCs w:val="24"/>
          <w:lang w:val="es-ES_tradnl" w:eastAsia="es-ES_tradnl"/>
          <w14:ligatures w14:val="none"/>
        </w:rPr>
        <w:t> el recurso contencioso tributario incoado por </w:t>
      </w:r>
      <w:r w:rsidRPr="00C3762A">
        <w:rPr>
          <w:rFonts w:eastAsia="Times New Roman" w:cs="Times New Roman"/>
          <w:color w:val="000000"/>
          <w:kern w:val="0"/>
          <w:szCs w:val="24"/>
          <w:lang w:val="es-UY" w:eastAsia="es-ES_tradnl"/>
          <w14:ligatures w14:val="none"/>
        </w:rPr>
        <w:t>la sociedad mercantil </w:t>
      </w:r>
      <w:r w:rsidRPr="00C3762A">
        <w:rPr>
          <w:rFonts w:eastAsia="Times New Roman" w:cs="Times New Roman"/>
          <w:color w:val="000000"/>
          <w:kern w:val="0"/>
          <w:szCs w:val="24"/>
          <w:lang w:eastAsia="es-ES_tradnl"/>
          <w14:ligatures w14:val="none"/>
        </w:rPr>
        <w:t>Licores La Orquídea, C.A.</w:t>
      </w:r>
      <w:r w:rsidRPr="00C3762A">
        <w:rPr>
          <w:rFonts w:eastAsia="Times New Roman" w:cs="Times New Roman"/>
          <w:color w:val="000000"/>
          <w:kern w:val="0"/>
          <w:szCs w:val="24"/>
          <w:lang w:val="es-ES_tradnl" w:eastAsia="es-ES_tradnl"/>
          <w14:ligatures w14:val="none"/>
        </w:rPr>
        <w:t>, por lo que queda </w:t>
      </w:r>
      <w:r w:rsidRPr="00C3762A">
        <w:rPr>
          <w:rFonts w:eastAsia="Times New Roman" w:cs="Times New Roman"/>
          <w:b/>
          <w:bCs/>
          <w:color w:val="000000"/>
          <w:kern w:val="0"/>
          <w:szCs w:val="24"/>
          <w:lang w:val="es-ES_tradnl" w:eastAsia="es-ES_tradnl"/>
          <w14:ligatures w14:val="none"/>
        </w:rPr>
        <w:t>firme</w:t>
      </w:r>
      <w:r w:rsidRPr="00C3762A">
        <w:rPr>
          <w:rFonts w:eastAsia="Times New Roman" w:cs="Times New Roman"/>
          <w:color w:val="000000"/>
          <w:kern w:val="0"/>
          <w:szCs w:val="24"/>
          <w:lang w:val="es-ES_tradnl" w:eastAsia="es-ES_tradnl"/>
          <w14:ligatures w14:val="none"/>
        </w:rPr>
        <w:t> al acto administrativo impugnado. </w:t>
      </w:r>
      <w:r w:rsidRPr="00C3762A">
        <w:rPr>
          <w:rFonts w:eastAsia="Times New Roman" w:cs="Times New Roman"/>
          <w:b/>
          <w:bCs/>
          <w:color w:val="000000"/>
          <w:kern w:val="0"/>
          <w:szCs w:val="24"/>
          <w:lang w:val="es-ES_tradnl" w:eastAsia="es-ES_tradnl"/>
          <w14:ligatures w14:val="none"/>
        </w:rPr>
        <w:t>Así se establece</w:t>
      </w:r>
      <w:r w:rsidRPr="00C3762A">
        <w:rPr>
          <w:rFonts w:eastAsia="Times New Roman" w:cs="Times New Roman"/>
          <w:color w:val="000000"/>
          <w:kern w:val="0"/>
          <w:szCs w:val="24"/>
          <w:lang w:val="es-ES_tradnl" w:eastAsia="es-ES_tradnl"/>
          <w14:ligatures w14:val="none"/>
        </w:rPr>
        <w:t>.</w:t>
      </w:r>
    </w:p>
    <w:p w14:paraId="297EB7EA" w14:textId="77777777" w:rsidR="00C3762A" w:rsidRPr="00C3762A" w:rsidRDefault="00C3762A" w:rsidP="00C3762A">
      <w:pPr>
        <w:spacing w:line="420" w:lineRule="atLeast"/>
        <w:ind w:firstLine="680"/>
        <w:jc w:val="both"/>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eastAsia="es-ES_tradnl"/>
          <w14:ligatures w14:val="none"/>
        </w:rPr>
        <w:t>En definitiva, dada la declaratoria sin lugar del recurso contencioso tributario ejercido por la contribuyente, </w:t>
      </w:r>
      <w:r w:rsidRPr="00C3762A">
        <w:rPr>
          <w:rFonts w:eastAsia="Times New Roman" w:cs="Times New Roman"/>
          <w:b/>
          <w:bCs/>
          <w:color w:val="000000"/>
          <w:kern w:val="0"/>
          <w:szCs w:val="24"/>
          <w:lang w:eastAsia="es-ES_tradnl"/>
          <w14:ligatures w14:val="none"/>
        </w:rPr>
        <w:t>se condena</w:t>
      </w:r>
      <w:r w:rsidRPr="00C3762A">
        <w:rPr>
          <w:rFonts w:eastAsia="Times New Roman" w:cs="Times New Roman"/>
          <w:color w:val="000000"/>
          <w:kern w:val="0"/>
          <w:szCs w:val="24"/>
          <w:lang w:eastAsia="es-ES_tradnl"/>
          <w14:ligatures w14:val="none"/>
        </w:rPr>
        <w:t> en costas procesales a la sociedad mercantil recurrente </w:t>
      </w:r>
      <w:r w:rsidRPr="00C3762A">
        <w:rPr>
          <w:rFonts w:eastAsia="Times New Roman" w:cs="Times New Roman"/>
          <w:color w:val="000000"/>
          <w:kern w:val="0"/>
          <w:szCs w:val="24"/>
          <w:lang w:val="es-VE" w:eastAsia="es-ES_tradnl"/>
          <w14:ligatures w14:val="none"/>
        </w:rPr>
        <w:t>en el monto equivalente al cinco por ciento (5%) de la cuantía del recurso contencioso tributario, a tenor de lo dispuesto en el artículo 335 del Código Orgánico Tributario de 2020.</w:t>
      </w:r>
      <w:r w:rsidRPr="00C3762A">
        <w:rPr>
          <w:rFonts w:eastAsia="Times New Roman" w:cs="Times New Roman"/>
          <w:b/>
          <w:bCs/>
          <w:color w:val="000000"/>
          <w:kern w:val="0"/>
          <w:szCs w:val="24"/>
          <w:lang w:val="es-VE" w:eastAsia="es-ES_tradnl"/>
          <w14:ligatures w14:val="none"/>
        </w:rPr>
        <w:t> Así se declara</w:t>
      </w:r>
      <w:r w:rsidRPr="00C3762A">
        <w:rPr>
          <w:rFonts w:eastAsia="Times New Roman" w:cs="Times New Roman"/>
          <w:color w:val="000000"/>
          <w:kern w:val="0"/>
          <w:szCs w:val="24"/>
          <w:lang w:val="es-VE" w:eastAsia="es-ES_tradnl"/>
          <w14:ligatures w14:val="none"/>
        </w:rPr>
        <w:t>.</w:t>
      </w:r>
    </w:p>
    <w:p w14:paraId="7D624699" w14:textId="77777777" w:rsidR="00C3762A" w:rsidRPr="00C3762A" w:rsidRDefault="00C3762A" w:rsidP="00C3762A">
      <w:pPr>
        <w:spacing w:line="420" w:lineRule="atLeast"/>
        <w:ind w:firstLine="680"/>
        <w:jc w:val="both"/>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shd w:val="clear" w:color="auto" w:fill="FFFFFF"/>
          <w:lang w:eastAsia="es-ES_tradnl"/>
          <w14:ligatures w14:val="none"/>
        </w:rPr>
        <w:t>Finalmente, resulta menester para esta Máxima Instancia precisar que la Sala Plena del Tribunal Supremo de Justicia en aras de garantizar la consecución de los postulados consagrados en los artículos 2, 26, 49 y 257 de la Constitución de la República Bolivariana de Venezuela, reconoció </w:t>
      </w:r>
      <w:r w:rsidRPr="00C3762A">
        <w:rPr>
          <w:rFonts w:eastAsia="Times New Roman" w:cs="Times New Roman"/>
          <w:color w:val="000000"/>
          <w:kern w:val="0"/>
          <w:szCs w:val="24"/>
          <w:lang w:eastAsia="es-ES_tradnl"/>
          <w14:ligatures w14:val="none"/>
        </w:rPr>
        <w:t xml:space="preserve">la preponderancia de la ciencia, la tecnología, y los servicios de información como elementos de interés público, destacando el deber del Poder Público -y concretamente de los órganos jurisdiccionales- de valerse de los avances tecnológicos para </w:t>
      </w:r>
      <w:r w:rsidRPr="00C3762A">
        <w:rPr>
          <w:rFonts w:eastAsia="Times New Roman" w:cs="Times New Roman"/>
          <w:color w:val="000000"/>
          <w:kern w:val="0"/>
          <w:szCs w:val="24"/>
          <w:lang w:eastAsia="es-ES_tradnl"/>
          <w14:ligatures w14:val="none"/>
        </w:rPr>
        <w:lastRenderedPageBreak/>
        <w:t>su optimización, procediendo en consecuencia a dictar la Resolución Nro. 2021-0011 de fecha 9 de junio de 2021, contentiva de las normas generales que regularán la suscripción y publicación de decisiones con firma digital, práctica de citaciones y notificaciones electrónicas y la emisión de copias simples o certificadas por vía electrónica relacionadas con los procesos seguidos ante esta Sala Político-Administrativa.</w:t>
      </w:r>
    </w:p>
    <w:p w14:paraId="3E3B5D6F" w14:textId="77777777" w:rsidR="00C3762A" w:rsidRPr="00C3762A" w:rsidRDefault="00C3762A" w:rsidP="00C3762A">
      <w:pPr>
        <w:spacing w:line="420" w:lineRule="atLeast"/>
        <w:ind w:firstLine="680"/>
        <w:jc w:val="both"/>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eastAsia="es-ES_tradnl"/>
          <w14:ligatures w14:val="none"/>
        </w:rPr>
        <w:t>Ello así y, visto que los artículos 38 de la Ley Orgánica de la Jurisdicción Contencioso Administrativa y 3 de la Resolución </w:t>
      </w:r>
      <w:r w:rsidRPr="00C3762A">
        <w:rPr>
          <w:rFonts w:eastAsia="Times New Roman" w:cs="Times New Roman"/>
          <w:i/>
          <w:iCs/>
          <w:color w:val="000000"/>
          <w:kern w:val="0"/>
          <w:szCs w:val="24"/>
          <w:lang w:eastAsia="es-ES_tradnl"/>
          <w14:ligatures w14:val="none"/>
        </w:rPr>
        <w:t>in comento</w:t>
      </w:r>
      <w:r w:rsidRPr="00C3762A">
        <w:rPr>
          <w:rFonts w:eastAsia="Times New Roman" w:cs="Times New Roman"/>
          <w:color w:val="000000"/>
          <w:kern w:val="0"/>
          <w:szCs w:val="24"/>
          <w:lang w:eastAsia="es-ES_tradnl"/>
          <w14:ligatures w14:val="none"/>
        </w:rPr>
        <w:t>, consagran la posibilidad de practicar las citaciones y notificaciones por correo electrónico o cualquier otro medio que utilice tecnologías de la </w:t>
      </w:r>
      <w:r w:rsidRPr="00C3762A">
        <w:rPr>
          <w:rFonts w:eastAsia="Times New Roman" w:cs="Times New Roman"/>
          <w:color w:val="000000"/>
          <w:kern w:val="0"/>
          <w:szCs w:val="24"/>
          <w:shd w:val="clear" w:color="auto" w:fill="FFFFFF"/>
          <w:lang w:eastAsia="es-ES_tradnl"/>
          <w14:ligatures w14:val="none"/>
        </w:rPr>
        <w:t>información y la comunicación, este Máximo Tribunal </w:t>
      </w:r>
      <w:r w:rsidRPr="00C3762A">
        <w:rPr>
          <w:rFonts w:eastAsia="Times New Roman" w:cs="Times New Roman"/>
          <w:color w:val="000000"/>
          <w:kern w:val="0"/>
          <w:szCs w:val="24"/>
          <w:lang w:eastAsia="es-ES_tradnl"/>
          <w14:ligatures w14:val="none"/>
        </w:rPr>
        <w:t>con miras a procurar la mejora continua del servicio de administración de justicia, </w:t>
      </w:r>
      <w:r w:rsidRPr="00C3762A">
        <w:rPr>
          <w:rFonts w:eastAsia="Times New Roman" w:cs="Times New Roman"/>
          <w:b/>
          <w:bCs/>
          <w:color w:val="000000"/>
          <w:kern w:val="0"/>
          <w:szCs w:val="24"/>
          <w:lang w:eastAsia="es-ES_tradnl"/>
          <w14:ligatures w14:val="none"/>
        </w:rPr>
        <w:t>ordena</w:t>
      </w:r>
      <w:r w:rsidRPr="00C3762A">
        <w:rPr>
          <w:rFonts w:eastAsia="Times New Roman" w:cs="Times New Roman"/>
          <w:color w:val="000000"/>
          <w:kern w:val="0"/>
          <w:szCs w:val="24"/>
          <w:lang w:eastAsia="es-ES_tradnl"/>
          <w14:ligatures w14:val="none"/>
        </w:rPr>
        <w:t> efectuar un análisis de las actas que conforman el expediente de la causa, a los efectos de determinar </w:t>
      </w:r>
      <w:r w:rsidRPr="00C3762A">
        <w:rPr>
          <w:rFonts w:eastAsia="Times New Roman" w:cs="Times New Roman"/>
          <w:color w:val="000000"/>
          <w:kern w:val="0"/>
          <w:szCs w:val="24"/>
          <w:shd w:val="clear" w:color="auto" w:fill="FFFFFF"/>
          <w:lang w:eastAsia="es-ES_tradnl"/>
          <w14:ligatures w14:val="none"/>
        </w:rPr>
        <w:t>si las partes cuentan o no con los medios telemáticos suficientes para hacer efectiva dicha actuación procesal y, de ser el caso, proceder a practicar las notificaciones a las que haya lugar por medios electrónicos; en el entendido de que la falta de indicación en autos de algunos de los elementos digitales previamente señalados, dará lugar a que se practique</w:t>
      </w:r>
      <w:r w:rsidRPr="00C3762A">
        <w:rPr>
          <w:rFonts w:eastAsia="Times New Roman" w:cs="Times New Roman"/>
          <w:color w:val="000000"/>
          <w:kern w:val="0"/>
          <w:szCs w:val="24"/>
          <w:lang w:eastAsia="es-ES_tradnl"/>
          <w14:ligatures w14:val="none"/>
        </w:rPr>
        <w:t> la notificación conforme a lo establecido en el artículo 5 de la aludida Resolución y en las leyes</w:t>
      </w:r>
      <w:r w:rsidRPr="00C3762A">
        <w:rPr>
          <w:rFonts w:eastAsia="Times New Roman" w:cs="Times New Roman"/>
          <w:i/>
          <w:iCs/>
          <w:color w:val="000000"/>
          <w:kern w:val="0"/>
          <w:szCs w:val="24"/>
          <w:lang w:eastAsia="es-ES_tradnl"/>
          <w14:ligatures w14:val="none"/>
        </w:rPr>
        <w:t>.</w:t>
      </w:r>
      <w:r w:rsidRPr="00C3762A">
        <w:rPr>
          <w:rFonts w:eastAsia="Times New Roman" w:cs="Times New Roman"/>
          <w:b/>
          <w:bCs/>
          <w:color w:val="000000"/>
          <w:kern w:val="0"/>
          <w:szCs w:val="24"/>
          <w:lang w:eastAsia="es-ES_tradnl"/>
          <w14:ligatures w14:val="none"/>
        </w:rPr>
        <w:t> Así se declara.</w:t>
      </w:r>
    </w:p>
    <w:p w14:paraId="067C3CED" w14:textId="77777777" w:rsidR="00C3762A" w:rsidRPr="00C3762A" w:rsidRDefault="00C3762A" w:rsidP="00C3762A">
      <w:pPr>
        <w:spacing w:before="0" w:after="0"/>
        <w:ind w:firstLine="0"/>
        <w:jc w:val="center"/>
        <w:rPr>
          <w:rFonts w:eastAsia="Times New Roman" w:cs="Times New Roman"/>
          <w:color w:val="000000"/>
          <w:kern w:val="0"/>
          <w:sz w:val="28"/>
          <w:szCs w:val="28"/>
          <w:lang w:val="es-VE" w:eastAsia="es-ES_tradnl"/>
          <w14:ligatures w14:val="none"/>
        </w:rPr>
      </w:pPr>
      <w:r w:rsidRPr="00C3762A">
        <w:rPr>
          <w:rFonts w:eastAsia="Times New Roman" w:cs="Times New Roman"/>
          <w:b/>
          <w:bCs/>
          <w:caps/>
          <w:color w:val="000000"/>
          <w:kern w:val="0"/>
          <w:szCs w:val="24"/>
          <w:lang w:val="es-VE" w:eastAsia="es-ES_tradnl"/>
          <w14:ligatures w14:val="none"/>
        </w:rPr>
        <w:t> </w:t>
      </w:r>
    </w:p>
    <w:p w14:paraId="6739FC27" w14:textId="77777777" w:rsidR="00C3762A" w:rsidRPr="00C3762A" w:rsidRDefault="00C3762A" w:rsidP="00C3762A">
      <w:pPr>
        <w:spacing w:before="0" w:after="0"/>
        <w:ind w:firstLine="0"/>
        <w:jc w:val="center"/>
        <w:rPr>
          <w:rFonts w:eastAsia="Times New Roman" w:cs="Times New Roman"/>
          <w:color w:val="000000"/>
          <w:kern w:val="0"/>
          <w:sz w:val="28"/>
          <w:szCs w:val="28"/>
          <w:lang w:val="es-VE" w:eastAsia="es-ES_tradnl"/>
          <w14:ligatures w14:val="none"/>
        </w:rPr>
      </w:pPr>
      <w:r w:rsidRPr="00C3762A">
        <w:rPr>
          <w:rFonts w:eastAsia="Times New Roman" w:cs="Times New Roman"/>
          <w:b/>
          <w:bCs/>
          <w:caps/>
          <w:color w:val="000000"/>
          <w:kern w:val="0"/>
          <w:szCs w:val="24"/>
          <w:lang w:val="es-VE" w:eastAsia="es-ES_tradnl"/>
          <w14:ligatures w14:val="none"/>
        </w:rPr>
        <w:t> </w:t>
      </w:r>
    </w:p>
    <w:p w14:paraId="368B5CE1" w14:textId="77777777" w:rsidR="00C3762A" w:rsidRPr="00C3762A" w:rsidRDefault="00C3762A" w:rsidP="00C3762A">
      <w:pPr>
        <w:spacing w:before="0" w:after="0"/>
        <w:ind w:firstLine="0"/>
        <w:jc w:val="center"/>
        <w:rPr>
          <w:rFonts w:eastAsia="Times New Roman" w:cs="Times New Roman"/>
          <w:color w:val="000000"/>
          <w:kern w:val="0"/>
          <w:sz w:val="28"/>
          <w:szCs w:val="28"/>
          <w:lang w:val="es-VE" w:eastAsia="es-ES_tradnl"/>
          <w14:ligatures w14:val="none"/>
        </w:rPr>
      </w:pPr>
      <w:r w:rsidRPr="00C3762A">
        <w:rPr>
          <w:rFonts w:eastAsia="Times New Roman" w:cs="Times New Roman"/>
          <w:b/>
          <w:bCs/>
          <w:caps/>
          <w:color w:val="000000"/>
          <w:kern w:val="0"/>
          <w:szCs w:val="24"/>
          <w:lang w:val="es-VE" w:eastAsia="es-ES_tradnl"/>
          <w14:ligatures w14:val="none"/>
        </w:rPr>
        <w:t>IV</w:t>
      </w:r>
    </w:p>
    <w:p w14:paraId="1B76EF1E" w14:textId="77777777" w:rsidR="00C3762A" w:rsidRPr="00C3762A" w:rsidRDefault="00C3762A" w:rsidP="00C3762A">
      <w:pPr>
        <w:spacing w:before="0" w:after="0"/>
        <w:ind w:firstLine="0"/>
        <w:jc w:val="center"/>
        <w:rPr>
          <w:rFonts w:eastAsia="Times New Roman" w:cs="Times New Roman"/>
          <w:color w:val="000000"/>
          <w:kern w:val="0"/>
          <w:sz w:val="28"/>
          <w:szCs w:val="28"/>
          <w:lang w:val="es-VE" w:eastAsia="es-ES_tradnl"/>
          <w14:ligatures w14:val="none"/>
        </w:rPr>
      </w:pPr>
      <w:r w:rsidRPr="00C3762A">
        <w:rPr>
          <w:rFonts w:eastAsia="Times New Roman" w:cs="Times New Roman"/>
          <w:b/>
          <w:bCs/>
          <w:caps/>
          <w:color w:val="000000"/>
          <w:kern w:val="0"/>
          <w:szCs w:val="24"/>
          <w:lang w:val="es-VE" w:eastAsia="es-ES_tradnl"/>
          <w14:ligatures w14:val="none"/>
        </w:rPr>
        <w:t>DECISIÓN</w:t>
      </w:r>
    </w:p>
    <w:p w14:paraId="3CC02166" w14:textId="77777777" w:rsidR="00C3762A" w:rsidRPr="00C3762A" w:rsidRDefault="00C3762A" w:rsidP="00C3762A">
      <w:pPr>
        <w:spacing w:before="0" w:after="0"/>
        <w:ind w:firstLine="0"/>
        <w:jc w:val="center"/>
        <w:rPr>
          <w:rFonts w:eastAsia="Times New Roman" w:cs="Times New Roman"/>
          <w:color w:val="000000"/>
          <w:kern w:val="0"/>
          <w:sz w:val="28"/>
          <w:szCs w:val="28"/>
          <w:lang w:val="es-VE" w:eastAsia="es-ES_tradnl"/>
          <w14:ligatures w14:val="none"/>
        </w:rPr>
      </w:pPr>
      <w:r w:rsidRPr="00C3762A">
        <w:rPr>
          <w:rFonts w:eastAsia="Times New Roman" w:cs="Times New Roman"/>
          <w:b/>
          <w:bCs/>
          <w:caps/>
          <w:color w:val="000000"/>
          <w:kern w:val="0"/>
          <w:szCs w:val="24"/>
          <w:lang w:val="es-VE" w:eastAsia="es-ES_tradnl"/>
          <w14:ligatures w14:val="none"/>
        </w:rPr>
        <w:t> </w:t>
      </w:r>
    </w:p>
    <w:p w14:paraId="31CE152E" w14:textId="77777777" w:rsidR="00C3762A" w:rsidRPr="00C3762A" w:rsidRDefault="00C3762A" w:rsidP="00C3762A">
      <w:pPr>
        <w:spacing w:before="0" w:after="0"/>
        <w:ind w:firstLine="0"/>
        <w:jc w:val="center"/>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val="es-VE" w:eastAsia="es-ES_tradnl"/>
          <w14:ligatures w14:val="none"/>
        </w:rPr>
        <w:t> </w:t>
      </w:r>
    </w:p>
    <w:p w14:paraId="4A0F585B" w14:textId="77777777" w:rsidR="00C3762A" w:rsidRPr="00C3762A" w:rsidRDefault="00C3762A" w:rsidP="00C3762A">
      <w:pPr>
        <w:spacing w:before="0" w:after="0" w:line="420" w:lineRule="atLeast"/>
        <w:ind w:firstLine="680"/>
        <w:jc w:val="both"/>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val="es-VE" w:eastAsia="es-ES_tradnl"/>
          <w14:ligatures w14:val="none"/>
        </w:rPr>
        <w:t>Por las razones precedentemente señaladas, este Tribunal Supremo de Justicia en Sala Político-Administrativa, administrando justicia en nombre de la República Bolivariana de Venezuela por autoridad de la Ley, declara:</w:t>
      </w:r>
    </w:p>
    <w:p w14:paraId="49BD824F" w14:textId="77777777" w:rsidR="00C3762A" w:rsidRPr="00C3762A" w:rsidRDefault="00C3762A" w:rsidP="00C3762A">
      <w:pPr>
        <w:spacing w:line="420" w:lineRule="atLeast"/>
        <w:ind w:firstLine="680"/>
        <w:jc w:val="both"/>
        <w:rPr>
          <w:rFonts w:eastAsia="Times New Roman" w:cs="Times New Roman"/>
          <w:color w:val="000000"/>
          <w:kern w:val="0"/>
          <w:sz w:val="28"/>
          <w:szCs w:val="28"/>
          <w:lang w:val="es-VE" w:eastAsia="es-ES_tradnl"/>
          <w14:ligatures w14:val="none"/>
        </w:rPr>
      </w:pPr>
      <w:r w:rsidRPr="00C3762A">
        <w:rPr>
          <w:rFonts w:eastAsia="Times New Roman" w:cs="Times New Roman"/>
          <w:b/>
          <w:bCs/>
          <w:color w:val="000000"/>
          <w:spacing w:val="-2"/>
          <w:kern w:val="0"/>
          <w:szCs w:val="24"/>
          <w:lang w:eastAsia="es-ES_tradnl"/>
          <w14:ligatures w14:val="none"/>
        </w:rPr>
        <w:t>1.-</w:t>
      </w:r>
      <w:r w:rsidRPr="00C3762A">
        <w:rPr>
          <w:rFonts w:eastAsia="Times New Roman" w:cs="Times New Roman"/>
          <w:color w:val="000000"/>
          <w:spacing w:val="-2"/>
          <w:kern w:val="0"/>
          <w:szCs w:val="24"/>
          <w:lang w:eastAsia="es-ES_tradnl"/>
          <w14:ligatures w14:val="none"/>
        </w:rPr>
        <w:t> </w:t>
      </w:r>
      <w:r w:rsidRPr="00C3762A">
        <w:rPr>
          <w:rFonts w:eastAsia="Times New Roman" w:cs="Times New Roman"/>
          <w:b/>
          <w:bCs/>
          <w:color w:val="000000"/>
          <w:spacing w:val="-2"/>
          <w:kern w:val="0"/>
          <w:szCs w:val="24"/>
          <w:lang w:eastAsia="es-ES_tradnl"/>
          <w14:ligatures w14:val="none"/>
        </w:rPr>
        <w:t>FIRMES</w:t>
      </w:r>
      <w:r w:rsidRPr="00C3762A">
        <w:rPr>
          <w:rFonts w:eastAsia="Times New Roman" w:cs="Times New Roman"/>
          <w:color w:val="000000"/>
          <w:spacing w:val="-2"/>
          <w:kern w:val="0"/>
          <w:szCs w:val="24"/>
          <w:lang w:eastAsia="es-ES_tradnl"/>
          <w14:ligatures w14:val="none"/>
        </w:rPr>
        <w:t> </w:t>
      </w:r>
      <w:r w:rsidRPr="00C3762A">
        <w:rPr>
          <w:rFonts w:eastAsia="Times New Roman" w:cs="Times New Roman"/>
          <w:color w:val="000000"/>
          <w:kern w:val="0"/>
          <w:szCs w:val="24"/>
          <w:lang w:eastAsia="es-ES_tradnl"/>
          <w14:ligatures w14:val="none"/>
        </w:rPr>
        <w:t>por </w:t>
      </w:r>
      <w:r w:rsidRPr="00C3762A">
        <w:rPr>
          <w:rFonts w:eastAsia="Times New Roman" w:cs="Times New Roman"/>
          <w:color w:val="000000"/>
          <w:kern w:val="0"/>
          <w:szCs w:val="24"/>
          <w:lang w:val="es-ES_tradnl" w:eastAsia="es-ES_tradnl"/>
          <w14:ligatures w14:val="none"/>
        </w:rPr>
        <w:t>no haber sido apelados por la contribuyente ni desfavorecer los intereses del Fisco Nacional, </w:t>
      </w:r>
      <w:r w:rsidRPr="00C3762A">
        <w:rPr>
          <w:rFonts w:eastAsia="Times New Roman" w:cs="Times New Roman"/>
          <w:color w:val="000000"/>
          <w:kern w:val="0"/>
          <w:szCs w:val="24"/>
          <w:lang w:eastAsia="es-ES_tradnl"/>
          <w14:ligatures w14:val="none"/>
        </w:rPr>
        <w:t>la declaratoria del Tribunal de instancia referido</w:t>
      </w:r>
      <w:r w:rsidRPr="00C3762A">
        <w:rPr>
          <w:rFonts w:eastAsia="Times New Roman" w:cs="Times New Roman"/>
          <w:i/>
          <w:iCs/>
          <w:color w:val="000000"/>
          <w:kern w:val="0"/>
          <w:szCs w:val="24"/>
          <w:lang w:eastAsia="es-ES_tradnl"/>
          <w14:ligatures w14:val="none"/>
        </w:rPr>
        <w:t> </w:t>
      </w:r>
      <w:r w:rsidRPr="00C3762A">
        <w:rPr>
          <w:rFonts w:eastAsia="Times New Roman" w:cs="Times New Roman"/>
          <w:color w:val="000000"/>
          <w:kern w:val="0"/>
          <w:szCs w:val="24"/>
          <w:lang w:eastAsia="es-ES_tradnl"/>
          <w14:ligatures w14:val="none"/>
        </w:rPr>
        <w:t>a</w:t>
      </w:r>
      <w:r w:rsidRPr="00C3762A">
        <w:rPr>
          <w:rFonts w:eastAsia="Times New Roman" w:cs="Times New Roman"/>
          <w:i/>
          <w:iCs/>
          <w:color w:val="000000"/>
          <w:kern w:val="0"/>
          <w:szCs w:val="24"/>
          <w:lang w:eastAsia="es-ES_tradnl"/>
          <w14:ligatures w14:val="none"/>
        </w:rPr>
        <w:t> </w:t>
      </w:r>
      <w:r w:rsidRPr="00C3762A">
        <w:rPr>
          <w:rFonts w:eastAsia="Times New Roman" w:cs="Times New Roman"/>
          <w:color w:val="000000"/>
          <w:kern w:val="0"/>
          <w:szCs w:val="24"/>
          <w:lang w:eastAsia="es-ES_tradnl"/>
          <w14:ligatures w14:val="none"/>
        </w:rPr>
        <w:t>“</w:t>
      </w:r>
      <w:r w:rsidRPr="00C3762A">
        <w:rPr>
          <w:rFonts w:eastAsia="Times New Roman" w:cs="Times New Roman"/>
          <w:i/>
          <w:iCs/>
          <w:color w:val="000000"/>
          <w:kern w:val="0"/>
          <w:szCs w:val="24"/>
          <w:lang w:eastAsia="es-ES_tradnl"/>
          <w14:ligatures w14:val="none"/>
        </w:rPr>
        <w:t xml:space="preserve">la improcedencia del vicio de </w:t>
      </w:r>
      <w:proofErr w:type="spellStart"/>
      <w:r w:rsidRPr="00C3762A">
        <w:rPr>
          <w:rFonts w:eastAsia="Times New Roman" w:cs="Times New Roman"/>
          <w:i/>
          <w:iCs/>
          <w:color w:val="000000"/>
          <w:kern w:val="0"/>
          <w:szCs w:val="24"/>
          <w:lang w:eastAsia="es-ES_tradnl"/>
          <w14:ligatures w14:val="none"/>
        </w:rPr>
        <w:t>inmotivación</w:t>
      </w:r>
      <w:proofErr w:type="spellEnd"/>
      <w:r w:rsidRPr="00C3762A">
        <w:rPr>
          <w:rFonts w:eastAsia="Times New Roman" w:cs="Times New Roman"/>
          <w:i/>
          <w:iCs/>
          <w:color w:val="000000"/>
          <w:kern w:val="0"/>
          <w:szCs w:val="24"/>
          <w:lang w:eastAsia="es-ES_tradnl"/>
          <w14:ligatures w14:val="none"/>
        </w:rPr>
        <w:t xml:space="preserve"> del Acto Administrativo contenido en la resolución de Imposición de Sanción por Incumplimiento de Deberes Formales identificada con el N° GEB/ SAF/SAT/SATEEB/DD/GIF/DV/002/ 2022</w:t>
      </w:r>
      <w:r w:rsidRPr="00C3762A">
        <w:rPr>
          <w:rFonts w:eastAsia="Times New Roman" w:cs="Times New Roman"/>
          <w:color w:val="000000"/>
          <w:kern w:val="0"/>
          <w:szCs w:val="24"/>
          <w:lang w:eastAsia="es-ES_tradnl"/>
          <w14:ligatures w14:val="none"/>
        </w:rPr>
        <w:t>”</w:t>
      </w:r>
      <w:r w:rsidRPr="00C3762A">
        <w:rPr>
          <w:rFonts w:eastAsia="Times New Roman" w:cs="Times New Roman"/>
          <w:color w:val="000000"/>
          <w:kern w:val="0"/>
          <w:szCs w:val="24"/>
          <w:lang w:val="es-ES_tradnl" w:eastAsia="es-ES_tradnl"/>
          <w14:ligatures w14:val="none"/>
        </w:rPr>
        <w:t>.</w:t>
      </w:r>
    </w:p>
    <w:p w14:paraId="063CF615" w14:textId="77777777" w:rsidR="00C3762A" w:rsidRPr="00C3762A" w:rsidRDefault="00C3762A" w:rsidP="00C3762A">
      <w:pPr>
        <w:spacing w:line="420" w:lineRule="atLeast"/>
        <w:ind w:firstLine="680"/>
        <w:jc w:val="both"/>
        <w:rPr>
          <w:rFonts w:eastAsia="Times New Roman" w:cs="Times New Roman"/>
          <w:color w:val="000000"/>
          <w:kern w:val="0"/>
          <w:sz w:val="28"/>
          <w:szCs w:val="28"/>
          <w:lang w:val="es-VE" w:eastAsia="es-ES_tradnl"/>
          <w14:ligatures w14:val="none"/>
        </w:rPr>
      </w:pPr>
      <w:r w:rsidRPr="00C3762A">
        <w:rPr>
          <w:rFonts w:eastAsia="Times New Roman" w:cs="Times New Roman"/>
          <w:b/>
          <w:bCs/>
          <w:color w:val="000000"/>
          <w:kern w:val="0"/>
          <w:szCs w:val="24"/>
          <w:lang w:eastAsia="es-ES_tradnl"/>
          <w14:ligatures w14:val="none"/>
        </w:rPr>
        <w:lastRenderedPageBreak/>
        <w:t>2.- DESISTIDA </w:t>
      </w:r>
      <w:r w:rsidRPr="00C3762A">
        <w:rPr>
          <w:rFonts w:eastAsia="Times New Roman" w:cs="Times New Roman"/>
          <w:color w:val="000000"/>
          <w:kern w:val="0"/>
          <w:szCs w:val="24"/>
          <w:lang w:eastAsia="es-ES_tradnl"/>
          <w14:ligatures w14:val="none"/>
        </w:rPr>
        <w:t>la apelación ejercida por </w:t>
      </w:r>
      <w:r w:rsidRPr="00C3762A">
        <w:rPr>
          <w:rFonts w:eastAsia="Times New Roman" w:cs="Times New Roman"/>
          <w:color w:val="000000"/>
          <w:kern w:val="0"/>
          <w:szCs w:val="24"/>
          <w:lang w:val="es-VE" w:eastAsia="es-ES_tradnl"/>
          <w14:ligatures w14:val="none"/>
        </w:rPr>
        <w:t>la </w:t>
      </w:r>
      <w:r w:rsidRPr="00C3762A">
        <w:rPr>
          <w:rFonts w:eastAsia="Times New Roman" w:cs="Times New Roman"/>
          <w:color w:val="000000"/>
          <w:kern w:val="0"/>
          <w:szCs w:val="24"/>
          <w:lang w:eastAsia="es-ES_tradnl"/>
          <w14:ligatures w14:val="none"/>
        </w:rPr>
        <w:t>representación judicial del Estado Bolívar contra la sentencia definitiva contra la sentencia definitiva Nro. </w:t>
      </w:r>
      <w:r w:rsidRPr="00C3762A">
        <w:rPr>
          <w:rFonts w:eastAsia="Times New Roman" w:cs="Times New Roman"/>
          <w:color w:val="000000"/>
          <w:kern w:val="0"/>
          <w:szCs w:val="24"/>
          <w:lang w:val="es-ES_tradnl" w:eastAsia="es-ES_tradnl"/>
          <w14:ligatures w14:val="none"/>
        </w:rPr>
        <w:t>PJ0662023000013</w:t>
      </w:r>
      <w:r w:rsidRPr="00C3762A">
        <w:rPr>
          <w:rFonts w:eastAsia="Times New Roman" w:cs="Times New Roman"/>
          <w:color w:val="000000"/>
          <w:kern w:val="0"/>
          <w:szCs w:val="24"/>
          <w:lang w:eastAsia="es-ES_tradnl"/>
          <w14:ligatures w14:val="none"/>
        </w:rPr>
        <w:t> dictada por el Tribunal Superior de lo Contencioso Tributario de la Región Guayana el 16 de marzo de 2023, que declaró parcialmente con lugar el recurso contencioso tributario interpuesto en fecha 21 de abril de 2022 </w:t>
      </w:r>
      <w:r w:rsidRPr="00C3762A">
        <w:rPr>
          <w:rFonts w:eastAsia="Times New Roman" w:cs="Times New Roman"/>
          <w:color w:val="000000"/>
          <w:kern w:val="0"/>
          <w:szCs w:val="24"/>
          <w:lang w:val="es-UY" w:eastAsia="es-ES_tradnl"/>
          <w14:ligatures w14:val="none"/>
        </w:rPr>
        <w:t>por la sociedad mercantil </w:t>
      </w:r>
      <w:r w:rsidRPr="00C3762A">
        <w:rPr>
          <w:rFonts w:eastAsia="Times New Roman" w:cs="Times New Roman"/>
          <w:b/>
          <w:bCs/>
          <w:color w:val="000000"/>
          <w:kern w:val="0"/>
          <w:szCs w:val="24"/>
          <w:lang w:eastAsia="es-ES_tradnl"/>
          <w14:ligatures w14:val="none"/>
        </w:rPr>
        <w:t>LICORES LA ORQUÍDEA, C.A</w:t>
      </w:r>
      <w:r w:rsidRPr="00C3762A">
        <w:rPr>
          <w:rFonts w:eastAsia="Times New Roman" w:cs="Times New Roman"/>
          <w:color w:val="000000"/>
          <w:kern w:val="0"/>
          <w:szCs w:val="24"/>
          <w:lang w:eastAsia="es-ES_tradnl"/>
          <w14:ligatures w14:val="none"/>
        </w:rPr>
        <w:t>.</w:t>
      </w:r>
    </w:p>
    <w:p w14:paraId="6BB92DE3" w14:textId="77777777" w:rsidR="00C3762A" w:rsidRPr="00C3762A" w:rsidRDefault="00C3762A" w:rsidP="00C3762A">
      <w:pPr>
        <w:spacing w:line="420" w:lineRule="atLeast"/>
        <w:ind w:firstLine="680"/>
        <w:jc w:val="both"/>
        <w:rPr>
          <w:rFonts w:eastAsia="Times New Roman" w:cs="Times New Roman"/>
          <w:color w:val="000000"/>
          <w:kern w:val="0"/>
          <w:sz w:val="28"/>
          <w:szCs w:val="28"/>
          <w:lang w:val="es-VE" w:eastAsia="es-ES_tradnl"/>
          <w14:ligatures w14:val="none"/>
        </w:rPr>
      </w:pPr>
      <w:r w:rsidRPr="00C3762A">
        <w:rPr>
          <w:rFonts w:eastAsia="Times New Roman" w:cs="Times New Roman"/>
          <w:b/>
          <w:bCs/>
          <w:color w:val="000000"/>
          <w:kern w:val="0"/>
          <w:szCs w:val="24"/>
          <w:shd w:val="clear" w:color="auto" w:fill="FFFFFF"/>
          <w:lang w:eastAsia="es-ES_tradnl"/>
          <w14:ligatures w14:val="none"/>
        </w:rPr>
        <w:t>3.- </w:t>
      </w:r>
      <w:r w:rsidRPr="00C3762A">
        <w:rPr>
          <w:rFonts w:eastAsia="Times New Roman" w:cs="Times New Roman"/>
          <w:color w:val="000000"/>
          <w:kern w:val="0"/>
          <w:szCs w:val="24"/>
          <w:shd w:val="clear" w:color="auto" w:fill="FFFFFF"/>
          <w:lang w:eastAsia="es-ES_tradnl"/>
          <w14:ligatures w14:val="none"/>
        </w:rPr>
        <w:t>Que </w:t>
      </w:r>
      <w:r w:rsidRPr="00C3762A">
        <w:rPr>
          <w:rFonts w:eastAsia="Times New Roman" w:cs="Times New Roman"/>
          <w:b/>
          <w:bCs/>
          <w:color w:val="000000"/>
          <w:kern w:val="0"/>
          <w:szCs w:val="24"/>
          <w:shd w:val="clear" w:color="auto" w:fill="FFFFFF"/>
          <w:lang w:val="es-ES_tradnl" w:eastAsia="es-ES_tradnl"/>
          <w14:ligatures w14:val="none"/>
        </w:rPr>
        <w:t>PROCEDE </w:t>
      </w:r>
      <w:r w:rsidRPr="00C3762A">
        <w:rPr>
          <w:rFonts w:eastAsia="Times New Roman" w:cs="Times New Roman"/>
          <w:color w:val="000000"/>
          <w:kern w:val="0"/>
          <w:szCs w:val="24"/>
          <w:shd w:val="clear" w:color="auto" w:fill="FFFFFF"/>
          <w:lang w:val="es-ES_tradnl" w:eastAsia="es-ES_tradnl"/>
          <w14:ligatures w14:val="none"/>
        </w:rPr>
        <w:t>la consulta de la sentencia </w:t>
      </w:r>
      <w:r w:rsidRPr="00C3762A">
        <w:rPr>
          <w:rFonts w:eastAsia="Times New Roman" w:cs="Times New Roman"/>
          <w:color w:val="000000"/>
          <w:kern w:val="0"/>
          <w:szCs w:val="24"/>
          <w:shd w:val="clear" w:color="auto" w:fill="FFFFFF"/>
          <w:lang w:eastAsia="es-ES_tradnl"/>
          <w14:ligatures w14:val="none"/>
        </w:rPr>
        <w:t>Nro. </w:t>
      </w:r>
      <w:r w:rsidRPr="00C3762A">
        <w:rPr>
          <w:rFonts w:eastAsia="Times New Roman" w:cs="Times New Roman"/>
          <w:color w:val="000000"/>
          <w:kern w:val="0"/>
          <w:szCs w:val="24"/>
          <w:lang w:val="es-ES_tradnl" w:eastAsia="es-ES_tradnl"/>
          <w14:ligatures w14:val="none"/>
        </w:rPr>
        <w:t>PJ0662023000013 </w:t>
      </w:r>
      <w:r w:rsidRPr="00C3762A">
        <w:rPr>
          <w:rFonts w:eastAsia="Times New Roman" w:cs="Times New Roman"/>
          <w:color w:val="000000"/>
          <w:kern w:val="0"/>
          <w:szCs w:val="24"/>
          <w:shd w:val="clear" w:color="auto" w:fill="FFFFFF"/>
          <w:lang w:eastAsia="es-ES_tradnl"/>
          <w14:ligatures w14:val="none"/>
        </w:rPr>
        <w:t>dictada el 16 de marzo de 2023, por el referido Juzgado, de la cual se </w:t>
      </w:r>
      <w:r w:rsidRPr="00C3762A">
        <w:rPr>
          <w:rFonts w:eastAsia="Times New Roman" w:cs="Times New Roman"/>
          <w:b/>
          <w:bCs/>
          <w:color w:val="000000"/>
          <w:kern w:val="0"/>
          <w:szCs w:val="24"/>
          <w:lang w:eastAsia="es-ES_tradnl"/>
          <w14:ligatures w14:val="none"/>
        </w:rPr>
        <w:t>REVOCA </w:t>
      </w:r>
      <w:r w:rsidRPr="00C3762A">
        <w:rPr>
          <w:rFonts w:eastAsia="Times New Roman" w:cs="Times New Roman"/>
          <w:color w:val="000000"/>
          <w:kern w:val="0"/>
          <w:szCs w:val="24"/>
          <w:lang w:eastAsia="es-ES_tradnl"/>
          <w14:ligatures w14:val="none"/>
        </w:rPr>
        <w:t>el pronunciamiento del Tribunal de instancia referido al falso supuesto de hecho por la “</w:t>
      </w:r>
      <w:r w:rsidRPr="00C3762A">
        <w:rPr>
          <w:rFonts w:eastAsia="Times New Roman" w:cs="Times New Roman"/>
          <w:i/>
          <w:iCs/>
          <w:color w:val="000000"/>
          <w:kern w:val="0"/>
          <w:szCs w:val="24"/>
          <w:lang w:val="es-VE" w:eastAsia="es-ES_tradnl"/>
          <w14:ligatures w14:val="none"/>
        </w:rPr>
        <w:t>presunta aplicación irretroactiva del valor del tipo de cambio para el cálculo de las multas</w:t>
      </w:r>
      <w:r w:rsidRPr="00C3762A">
        <w:rPr>
          <w:rFonts w:eastAsia="Times New Roman" w:cs="Times New Roman"/>
          <w:color w:val="000000"/>
          <w:kern w:val="0"/>
          <w:szCs w:val="24"/>
          <w:lang w:val="es-VE" w:eastAsia="es-ES_tradnl"/>
          <w14:ligatures w14:val="none"/>
        </w:rPr>
        <w:t>”.</w:t>
      </w:r>
    </w:p>
    <w:p w14:paraId="3A224863" w14:textId="77777777" w:rsidR="00C3762A" w:rsidRPr="00C3762A" w:rsidRDefault="00C3762A" w:rsidP="00C3762A">
      <w:pPr>
        <w:spacing w:line="420" w:lineRule="atLeast"/>
        <w:ind w:firstLine="680"/>
        <w:jc w:val="both"/>
        <w:rPr>
          <w:rFonts w:eastAsia="Times New Roman" w:cs="Times New Roman"/>
          <w:color w:val="000000"/>
          <w:kern w:val="0"/>
          <w:sz w:val="28"/>
          <w:szCs w:val="28"/>
          <w:lang w:val="es-VE" w:eastAsia="es-ES_tradnl"/>
          <w14:ligatures w14:val="none"/>
        </w:rPr>
      </w:pPr>
      <w:r w:rsidRPr="00C3762A">
        <w:rPr>
          <w:rFonts w:eastAsia="Times New Roman" w:cs="Times New Roman"/>
          <w:b/>
          <w:bCs/>
          <w:color w:val="000000"/>
          <w:kern w:val="0"/>
          <w:szCs w:val="24"/>
          <w:lang w:eastAsia="es-ES_tradnl"/>
          <w14:ligatures w14:val="none"/>
        </w:rPr>
        <w:t>4.- SIN LUGAR </w:t>
      </w:r>
      <w:r w:rsidRPr="00C3762A">
        <w:rPr>
          <w:rFonts w:eastAsia="Times New Roman" w:cs="Times New Roman"/>
          <w:color w:val="000000"/>
          <w:kern w:val="0"/>
          <w:szCs w:val="24"/>
          <w:lang w:eastAsia="es-ES_tradnl"/>
          <w14:ligatures w14:val="none"/>
        </w:rPr>
        <w:t>el recurso contencioso tributario</w:t>
      </w:r>
      <w:r w:rsidRPr="00C3762A">
        <w:rPr>
          <w:rFonts w:eastAsia="Times New Roman" w:cs="Times New Roman"/>
          <w:color w:val="000000"/>
          <w:kern w:val="0"/>
          <w:szCs w:val="24"/>
          <w:lang w:val="es-VE" w:eastAsia="es-ES_tradnl"/>
          <w14:ligatures w14:val="none"/>
        </w:rPr>
        <w:t> </w:t>
      </w:r>
      <w:r w:rsidRPr="00C3762A">
        <w:rPr>
          <w:rFonts w:eastAsia="Times New Roman" w:cs="Times New Roman"/>
          <w:color w:val="000000"/>
          <w:kern w:val="0"/>
          <w:szCs w:val="24"/>
          <w:lang w:eastAsia="es-ES_tradnl"/>
          <w14:ligatures w14:val="none"/>
        </w:rPr>
        <w:t>interpuesto en fecha 21 de abril de 2022 </w:t>
      </w:r>
      <w:r w:rsidRPr="00C3762A">
        <w:rPr>
          <w:rFonts w:eastAsia="Times New Roman" w:cs="Times New Roman"/>
          <w:color w:val="000000"/>
          <w:kern w:val="0"/>
          <w:szCs w:val="24"/>
          <w:lang w:val="es-UY" w:eastAsia="es-ES_tradnl"/>
          <w14:ligatures w14:val="none"/>
        </w:rPr>
        <w:t>por la sociedad mercantil </w:t>
      </w:r>
      <w:r w:rsidRPr="00C3762A">
        <w:rPr>
          <w:rFonts w:eastAsia="Times New Roman" w:cs="Times New Roman"/>
          <w:b/>
          <w:bCs/>
          <w:color w:val="000000"/>
          <w:kern w:val="0"/>
          <w:szCs w:val="24"/>
          <w:lang w:eastAsia="es-ES_tradnl"/>
          <w14:ligatures w14:val="none"/>
        </w:rPr>
        <w:t>LICORES LA ORQUÍDEA, C.A</w:t>
      </w:r>
      <w:r w:rsidRPr="00C3762A">
        <w:rPr>
          <w:rFonts w:eastAsia="Times New Roman" w:cs="Times New Roman"/>
          <w:color w:val="000000"/>
          <w:kern w:val="0"/>
          <w:szCs w:val="24"/>
          <w:lang w:eastAsia="es-ES_tradnl"/>
          <w14:ligatures w14:val="none"/>
        </w:rPr>
        <w:t>., contra la Resolución de Imposición de Sanción Nro. GEB/SAF/SAATEB/DD/GIF/DV/002/2022 de fecha 25 de marzo de 2022, notificada el 4 de abril del mismo año, dictada por el Departamento de Inspección y Fiscalización del </w:t>
      </w:r>
      <w:r w:rsidRPr="00C3762A">
        <w:rPr>
          <w:rFonts w:eastAsia="Times New Roman" w:cs="Times New Roman"/>
          <w:b/>
          <w:bCs/>
          <w:color w:val="000000"/>
          <w:kern w:val="0"/>
          <w:szCs w:val="24"/>
          <w:lang w:eastAsia="es-ES_tradnl"/>
          <w14:ligatures w14:val="none"/>
        </w:rPr>
        <w:t>SERVICIO AUTÓNOMO DE ADMINISTRACIÓN TRIBUTARIA DEL ESTADO BOLÍVAR</w:t>
      </w:r>
      <w:r w:rsidRPr="00C3762A">
        <w:rPr>
          <w:rFonts w:eastAsia="Times New Roman" w:cs="Times New Roman"/>
          <w:color w:val="000000"/>
          <w:kern w:val="0"/>
          <w:szCs w:val="24"/>
          <w:lang w:eastAsia="es-ES_tradnl"/>
          <w14:ligatures w14:val="none"/>
        </w:rPr>
        <w:t>, la cual queda </w:t>
      </w:r>
      <w:r w:rsidRPr="00C3762A">
        <w:rPr>
          <w:rFonts w:eastAsia="Times New Roman" w:cs="Times New Roman"/>
          <w:b/>
          <w:bCs/>
          <w:color w:val="000000"/>
          <w:kern w:val="0"/>
          <w:szCs w:val="24"/>
          <w:lang w:eastAsia="es-ES_tradnl"/>
          <w14:ligatures w14:val="none"/>
        </w:rPr>
        <w:t>FIRME</w:t>
      </w:r>
      <w:r w:rsidRPr="00C3762A">
        <w:rPr>
          <w:rFonts w:eastAsia="Times New Roman" w:cs="Times New Roman"/>
          <w:color w:val="000000"/>
          <w:kern w:val="0"/>
          <w:szCs w:val="24"/>
          <w:lang w:eastAsia="es-ES_tradnl"/>
          <w14:ligatures w14:val="none"/>
        </w:rPr>
        <w:t> en los términos expuestos en el presente fallo.</w:t>
      </w:r>
    </w:p>
    <w:p w14:paraId="503FDF99" w14:textId="77777777" w:rsidR="00C3762A" w:rsidRPr="00C3762A" w:rsidRDefault="00C3762A" w:rsidP="00C3762A">
      <w:pPr>
        <w:spacing w:line="420" w:lineRule="atLeast"/>
        <w:ind w:firstLine="680"/>
        <w:jc w:val="both"/>
        <w:rPr>
          <w:rFonts w:eastAsia="Times New Roman" w:cs="Times New Roman"/>
          <w:color w:val="000000"/>
          <w:kern w:val="0"/>
          <w:sz w:val="28"/>
          <w:szCs w:val="28"/>
          <w:lang w:val="es-VE" w:eastAsia="es-ES_tradnl"/>
          <w14:ligatures w14:val="none"/>
        </w:rPr>
      </w:pPr>
      <w:r w:rsidRPr="00C3762A">
        <w:rPr>
          <w:rFonts w:eastAsia="Times New Roman" w:cs="Times New Roman"/>
          <w:b/>
          <w:bCs/>
          <w:color w:val="000000"/>
          <w:kern w:val="0"/>
          <w:szCs w:val="24"/>
          <w:lang w:eastAsia="es-ES_tradnl"/>
          <w14:ligatures w14:val="none"/>
        </w:rPr>
        <w:t>5.-</w:t>
      </w:r>
      <w:r w:rsidRPr="00C3762A">
        <w:rPr>
          <w:rFonts w:eastAsia="Times New Roman" w:cs="Times New Roman"/>
          <w:color w:val="000000"/>
          <w:kern w:val="0"/>
          <w:szCs w:val="24"/>
          <w:lang w:eastAsia="es-ES_tradnl"/>
          <w14:ligatures w14:val="none"/>
        </w:rPr>
        <w:t> Se </w:t>
      </w:r>
      <w:r w:rsidRPr="00C3762A">
        <w:rPr>
          <w:rFonts w:eastAsia="Times New Roman" w:cs="Times New Roman"/>
          <w:b/>
          <w:bCs/>
          <w:color w:val="000000"/>
          <w:kern w:val="0"/>
          <w:szCs w:val="24"/>
          <w:lang w:eastAsia="es-ES_tradnl"/>
          <w14:ligatures w14:val="none"/>
        </w:rPr>
        <w:t>CONDENA EN COSTAS</w:t>
      </w:r>
      <w:r w:rsidRPr="00C3762A">
        <w:rPr>
          <w:rFonts w:eastAsia="Times New Roman" w:cs="Times New Roman"/>
          <w:color w:val="000000"/>
          <w:kern w:val="0"/>
          <w:szCs w:val="24"/>
          <w:lang w:eastAsia="es-ES_tradnl"/>
          <w14:ligatures w14:val="none"/>
        </w:rPr>
        <w:t> a la empresa recurrente por el monto equivalente al cinco por ciento (5%) de la cuantía de dicho recurso, con base en las razones expresadas en la motiva del presente fallo.</w:t>
      </w:r>
    </w:p>
    <w:p w14:paraId="3D71BE0F" w14:textId="77777777" w:rsidR="00C3762A" w:rsidRPr="00C3762A" w:rsidRDefault="00C3762A" w:rsidP="00C3762A">
      <w:pPr>
        <w:spacing w:line="420" w:lineRule="atLeast"/>
        <w:ind w:firstLine="680"/>
        <w:jc w:val="both"/>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val="es-VE" w:eastAsia="es-ES_tradnl"/>
          <w14:ligatures w14:val="none"/>
        </w:rPr>
        <w:t>Publíquese, regístrese y comuníquese. </w:t>
      </w:r>
      <w:r w:rsidRPr="00C3762A">
        <w:rPr>
          <w:rFonts w:eastAsia="Times New Roman" w:cs="Times New Roman"/>
          <w:color w:val="000000"/>
          <w:kern w:val="0"/>
          <w:szCs w:val="24"/>
          <w:lang w:eastAsia="es-ES_tradnl"/>
          <w14:ligatures w14:val="none"/>
        </w:rPr>
        <w:t>Notifíquese al Síndico Procurador del Estado Bolívar. Remítase al Tribunal de origen. Cúmplase lo ordenado.</w:t>
      </w:r>
    </w:p>
    <w:p w14:paraId="4F95183F" w14:textId="77777777" w:rsidR="00C3762A" w:rsidRPr="00C3762A" w:rsidRDefault="00C3762A" w:rsidP="00C3762A">
      <w:pPr>
        <w:spacing w:before="0" w:after="0" w:line="420" w:lineRule="atLeast"/>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val="es-VE" w:eastAsia="es-ES_tradnl"/>
          <w14:ligatures w14:val="none"/>
        </w:rPr>
        <w:t>Dada, firmada y sellada en el Salón de Despacho de la Sala Político-Administrativa del Tribunal Supremo de Justicia, en Caracas, a los veinticinco (25) días del mes de abril del año dos mil veinticuatro (2024). Años 214º de la Independencia y 165º de la Federación.</w:t>
      </w:r>
    </w:p>
    <w:p w14:paraId="25CFF7B7" w14:textId="77777777" w:rsidR="00C3762A" w:rsidRPr="00C3762A" w:rsidRDefault="00C3762A" w:rsidP="00C3762A">
      <w:pPr>
        <w:spacing w:before="0" w:after="0"/>
        <w:ind w:firstLine="0"/>
        <w:jc w:val="center"/>
        <w:rPr>
          <w:rFonts w:eastAsia="Times New Roman" w:cs="Times New Roman"/>
          <w:color w:val="000000"/>
          <w:kern w:val="0"/>
          <w:sz w:val="28"/>
          <w:szCs w:val="28"/>
          <w:lang w:val="es-VE" w:eastAsia="es-ES_tradnl"/>
          <w14:ligatures w14:val="none"/>
        </w:rPr>
      </w:pPr>
      <w:r w:rsidRPr="00C3762A">
        <w:rPr>
          <w:rFonts w:eastAsia="Times New Roman" w:cs="Times New Roman"/>
          <w:color w:val="000000"/>
          <w:kern w:val="0"/>
          <w:szCs w:val="24"/>
          <w:lang w:val="es-VE" w:eastAsia="es-ES_tradnl"/>
          <w14:ligatures w14:val="none"/>
        </w:rPr>
        <w:t> </w:t>
      </w:r>
    </w:p>
    <w:tbl>
      <w:tblPr>
        <w:tblpPr w:leftFromText="141" w:rightFromText="141" w:vertAnchor="text"/>
        <w:tblW w:w="5000" w:type="pct"/>
        <w:shd w:val="clear" w:color="auto" w:fill="FFFFFF"/>
        <w:tblCellMar>
          <w:left w:w="0" w:type="dxa"/>
          <w:right w:w="0" w:type="dxa"/>
        </w:tblCellMar>
        <w:tblLook w:val="04A0" w:firstRow="1" w:lastRow="0" w:firstColumn="1" w:lastColumn="0" w:noHBand="0" w:noVBand="1"/>
      </w:tblPr>
      <w:tblGrid>
        <w:gridCol w:w="2977"/>
        <w:gridCol w:w="3878"/>
        <w:gridCol w:w="1983"/>
      </w:tblGrid>
      <w:tr w:rsidR="00C3762A" w:rsidRPr="00C3762A" w14:paraId="22A587D3" w14:textId="77777777" w:rsidTr="00C3762A">
        <w:tc>
          <w:tcPr>
            <w:tcW w:w="1650" w:type="pct"/>
            <w:shd w:val="clear" w:color="auto" w:fill="FFFFFF"/>
            <w:tcMar>
              <w:top w:w="0" w:type="dxa"/>
              <w:left w:w="108" w:type="dxa"/>
              <w:bottom w:w="0" w:type="dxa"/>
              <w:right w:w="108" w:type="dxa"/>
            </w:tcMar>
            <w:hideMark/>
          </w:tcPr>
          <w:p w14:paraId="365EDE41" w14:textId="77777777" w:rsidR="00C3762A" w:rsidRPr="00C3762A" w:rsidRDefault="00C3762A" w:rsidP="00C3762A">
            <w:pPr>
              <w:spacing w:before="0" w:after="0"/>
              <w:ind w:firstLine="0"/>
              <w:jc w:val="center"/>
              <w:rPr>
                <w:rFonts w:eastAsia="Times New Roman" w:cs="Times New Roman"/>
                <w:kern w:val="0"/>
                <w:sz w:val="28"/>
                <w:szCs w:val="28"/>
                <w:lang w:val="es-VE" w:eastAsia="es-ES_tradnl"/>
                <w14:ligatures w14:val="none"/>
              </w:rPr>
            </w:pPr>
            <w:r w:rsidRPr="00C3762A">
              <w:rPr>
                <w:rFonts w:eastAsia="Times New Roman" w:cs="Times New Roman"/>
                <w:kern w:val="0"/>
                <w:szCs w:val="24"/>
                <w:lang w:val="es-VE" w:eastAsia="es-ES_tradnl"/>
                <w14:ligatures w14:val="none"/>
              </w:rPr>
              <w:t>El Presidente –Ponente,</w:t>
            </w:r>
          </w:p>
          <w:p w14:paraId="708134FC" w14:textId="77777777" w:rsidR="00C3762A" w:rsidRPr="00C3762A" w:rsidRDefault="00C3762A" w:rsidP="00C3762A">
            <w:pPr>
              <w:spacing w:before="0" w:after="0"/>
              <w:ind w:firstLine="0"/>
              <w:jc w:val="center"/>
              <w:rPr>
                <w:rFonts w:eastAsia="Times New Roman" w:cs="Times New Roman"/>
                <w:kern w:val="0"/>
                <w:sz w:val="28"/>
                <w:szCs w:val="28"/>
                <w:lang w:val="es-VE" w:eastAsia="es-ES_tradnl"/>
                <w14:ligatures w14:val="none"/>
              </w:rPr>
            </w:pPr>
            <w:r w:rsidRPr="00C3762A">
              <w:rPr>
                <w:rFonts w:eastAsia="Times New Roman" w:cs="Times New Roman"/>
                <w:b/>
                <w:bCs/>
                <w:kern w:val="0"/>
                <w:szCs w:val="24"/>
                <w:lang w:val="es-VE" w:eastAsia="es-ES_tradnl"/>
                <w14:ligatures w14:val="none"/>
              </w:rPr>
              <w:t>MALAQUÍAS GIL RODRÍGUEZ</w:t>
            </w:r>
          </w:p>
        </w:tc>
        <w:tc>
          <w:tcPr>
            <w:tcW w:w="2150" w:type="pct"/>
            <w:shd w:val="clear" w:color="auto" w:fill="FFFFFF"/>
            <w:tcMar>
              <w:top w:w="0" w:type="dxa"/>
              <w:left w:w="108" w:type="dxa"/>
              <w:bottom w:w="0" w:type="dxa"/>
              <w:right w:w="108" w:type="dxa"/>
            </w:tcMar>
            <w:hideMark/>
          </w:tcPr>
          <w:p w14:paraId="27DA8B6E" w14:textId="77777777" w:rsidR="00C3762A" w:rsidRPr="00C3762A" w:rsidRDefault="00C3762A" w:rsidP="00C3762A">
            <w:pPr>
              <w:spacing w:before="0" w:after="0"/>
              <w:ind w:firstLine="0"/>
              <w:jc w:val="center"/>
              <w:rPr>
                <w:rFonts w:eastAsia="Times New Roman" w:cs="Times New Roman"/>
                <w:kern w:val="0"/>
                <w:sz w:val="28"/>
                <w:szCs w:val="28"/>
                <w:lang w:val="es-VE" w:eastAsia="es-ES_tradnl"/>
                <w14:ligatures w14:val="none"/>
              </w:rPr>
            </w:pPr>
            <w:r w:rsidRPr="00C3762A">
              <w:rPr>
                <w:rFonts w:eastAsia="Times New Roman" w:cs="Times New Roman"/>
                <w:kern w:val="0"/>
                <w:szCs w:val="24"/>
                <w:lang w:val="es-VE" w:eastAsia="es-ES_tradnl"/>
                <w14:ligatures w14:val="none"/>
              </w:rPr>
              <w:t> </w:t>
            </w:r>
          </w:p>
        </w:tc>
        <w:tc>
          <w:tcPr>
            <w:tcW w:w="1100" w:type="pct"/>
            <w:shd w:val="clear" w:color="auto" w:fill="FFFFFF"/>
            <w:tcMar>
              <w:top w:w="0" w:type="dxa"/>
              <w:left w:w="108" w:type="dxa"/>
              <w:bottom w:w="0" w:type="dxa"/>
              <w:right w:w="108" w:type="dxa"/>
            </w:tcMar>
            <w:hideMark/>
          </w:tcPr>
          <w:p w14:paraId="0623B363" w14:textId="77777777" w:rsidR="00C3762A" w:rsidRPr="00C3762A" w:rsidRDefault="00C3762A" w:rsidP="00C3762A">
            <w:pPr>
              <w:spacing w:before="0" w:after="0"/>
              <w:ind w:firstLine="0"/>
              <w:rPr>
                <w:rFonts w:eastAsia="Times New Roman" w:cs="Times New Roman"/>
                <w:kern w:val="0"/>
                <w:sz w:val="28"/>
                <w:szCs w:val="28"/>
                <w:lang w:val="es-VE" w:eastAsia="es-ES_tradnl"/>
                <w14:ligatures w14:val="none"/>
              </w:rPr>
            </w:pPr>
          </w:p>
        </w:tc>
      </w:tr>
      <w:tr w:rsidR="00C3762A" w:rsidRPr="00C3762A" w14:paraId="5FBCA197" w14:textId="77777777" w:rsidTr="00C3762A">
        <w:tc>
          <w:tcPr>
            <w:tcW w:w="1650" w:type="pct"/>
            <w:shd w:val="clear" w:color="auto" w:fill="FFFFFF"/>
            <w:tcMar>
              <w:top w:w="0" w:type="dxa"/>
              <w:left w:w="108" w:type="dxa"/>
              <w:bottom w:w="0" w:type="dxa"/>
              <w:right w:w="108" w:type="dxa"/>
            </w:tcMar>
            <w:hideMark/>
          </w:tcPr>
          <w:p w14:paraId="43587F98" w14:textId="77777777" w:rsidR="00C3762A" w:rsidRPr="00C3762A" w:rsidRDefault="00C3762A" w:rsidP="00C3762A">
            <w:pPr>
              <w:spacing w:before="0" w:after="0"/>
              <w:ind w:firstLine="0"/>
              <w:jc w:val="center"/>
              <w:rPr>
                <w:rFonts w:eastAsia="Times New Roman" w:cs="Times New Roman"/>
                <w:kern w:val="0"/>
                <w:sz w:val="28"/>
                <w:szCs w:val="28"/>
                <w:lang w:val="es-VE" w:eastAsia="es-ES_tradnl"/>
                <w14:ligatures w14:val="none"/>
              </w:rPr>
            </w:pPr>
            <w:r w:rsidRPr="00C3762A">
              <w:rPr>
                <w:rFonts w:eastAsia="Times New Roman" w:cs="Times New Roman"/>
                <w:kern w:val="0"/>
                <w:szCs w:val="24"/>
                <w:lang w:val="es-VE" w:eastAsia="es-ES_tradnl"/>
                <w14:ligatures w14:val="none"/>
              </w:rPr>
              <w:lastRenderedPageBreak/>
              <w:t> </w:t>
            </w:r>
          </w:p>
          <w:p w14:paraId="3523D12C" w14:textId="77777777" w:rsidR="00C3762A" w:rsidRPr="00C3762A" w:rsidRDefault="00C3762A" w:rsidP="00C3762A">
            <w:pPr>
              <w:spacing w:before="0" w:after="0"/>
              <w:ind w:firstLine="0"/>
              <w:jc w:val="center"/>
              <w:rPr>
                <w:rFonts w:eastAsia="Times New Roman" w:cs="Times New Roman"/>
                <w:kern w:val="0"/>
                <w:sz w:val="28"/>
                <w:szCs w:val="28"/>
                <w:lang w:val="es-VE" w:eastAsia="es-ES_tradnl"/>
                <w14:ligatures w14:val="none"/>
              </w:rPr>
            </w:pPr>
            <w:r w:rsidRPr="00C3762A">
              <w:rPr>
                <w:rFonts w:eastAsia="Times New Roman" w:cs="Times New Roman"/>
                <w:kern w:val="0"/>
                <w:szCs w:val="24"/>
                <w:lang w:val="es-VE" w:eastAsia="es-ES_tradnl"/>
                <w14:ligatures w14:val="none"/>
              </w:rPr>
              <w:t> </w:t>
            </w:r>
          </w:p>
        </w:tc>
        <w:tc>
          <w:tcPr>
            <w:tcW w:w="2150" w:type="pct"/>
            <w:shd w:val="clear" w:color="auto" w:fill="FFFFFF"/>
            <w:tcMar>
              <w:top w:w="0" w:type="dxa"/>
              <w:left w:w="108" w:type="dxa"/>
              <w:bottom w:w="0" w:type="dxa"/>
              <w:right w:w="108" w:type="dxa"/>
            </w:tcMar>
            <w:hideMark/>
          </w:tcPr>
          <w:p w14:paraId="3A1C4E7D" w14:textId="77777777" w:rsidR="00C3762A" w:rsidRPr="00C3762A" w:rsidRDefault="00C3762A" w:rsidP="00C3762A">
            <w:pPr>
              <w:spacing w:before="0" w:after="0"/>
              <w:ind w:firstLine="0"/>
              <w:jc w:val="center"/>
              <w:rPr>
                <w:rFonts w:eastAsia="Times New Roman" w:cs="Times New Roman"/>
                <w:kern w:val="0"/>
                <w:sz w:val="28"/>
                <w:szCs w:val="28"/>
                <w:lang w:val="es-VE" w:eastAsia="es-ES_tradnl"/>
                <w14:ligatures w14:val="none"/>
              </w:rPr>
            </w:pPr>
            <w:r w:rsidRPr="00C3762A">
              <w:rPr>
                <w:rFonts w:eastAsia="Times New Roman" w:cs="Times New Roman"/>
                <w:kern w:val="0"/>
                <w:szCs w:val="24"/>
                <w:lang w:val="es-VE" w:eastAsia="es-ES_tradnl"/>
                <w14:ligatures w14:val="none"/>
              </w:rPr>
              <w:t> </w:t>
            </w:r>
          </w:p>
        </w:tc>
        <w:tc>
          <w:tcPr>
            <w:tcW w:w="1100" w:type="pct"/>
            <w:shd w:val="clear" w:color="auto" w:fill="FFFFFF"/>
            <w:tcMar>
              <w:top w:w="0" w:type="dxa"/>
              <w:left w:w="108" w:type="dxa"/>
              <w:bottom w:w="0" w:type="dxa"/>
              <w:right w:w="108" w:type="dxa"/>
            </w:tcMar>
            <w:hideMark/>
          </w:tcPr>
          <w:p w14:paraId="6AFBF284" w14:textId="77777777" w:rsidR="00C3762A" w:rsidRPr="00C3762A" w:rsidRDefault="00C3762A" w:rsidP="00C3762A">
            <w:pPr>
              <w:spacing w:before="0" w:after="0"/>
              <w:ind w:firstLine="0"/>
              <w:rPr>
                <w:rFonts w:eastAsia="Times New Roman" w:cs="Times New Roman"/>
                <w:kern w:val="0"/>
                <w:sz w:val="28"/>
                <w:szCs w:val="28"/>
                <w:lang w:val="es-VE" w:eastAsia="es-ES_tradnl"/>
                <w14:ligatures w14:val="none"/>
              </w:rPr>
            </w:pPr>
            <w:r w:rsidRPr="00C3762A">
              <w:rPr>
                <w:rFonts w:eastAsia="Times New Roman" w:cs="Times New Roman"/>
                <w:kern w:val="0"/>
                <w:szCs w:val="24"/>
                <w:lang w:val="es-VE" w:eastAsia="es-ES_tradnl"/>
                <w14:ligatures w14:val="none"/>
              </w:rPr>
              <w:t>                   El Vicepresidente,</w:t>
            </w:r>
          </w:p>
          <w:p w14:paraId="5E939B60" w14:textId="77777777" w:rsidR="00C3762A" w:rsidRPr="00C3762A" w:rsidRDefault="00C3762A" w:rsidP="00C3762A">
            <w:pPr>
              <w:spacing w:before="0" w:after="0"/>
              <w:ind w:firstLine="0"/>
              <w:rPr>
                <w:rFonts w:eastAsia="Times New Roman" w:cs="Times New Roman"/>
                <w:kern w:val="0"/>
                <w:sz w:val="28"/>
                <w:szCs w:val="28"/>
                <w:lang w:val="es-VE" w:eastAsia="es-ES_tradnl"/>
                <w14:ligatures w14:val="none"/>
              </w:rPr>
            </w:pPr>
            <w:r w:rsidRPr="00C3762A">
              <w:rPr>
                <w:rFonts w:eastAsia="Times New Roman" w:cs="Times New Roman"/>
                <w:b/>
                <w:bCs/>
                <w:spacing w:val="6"/>
                <w:kern w:val="0"/>
                <w:szCs w:val="24"/>
                <w:lang w:val="es-ES_tradnl" w:eastAsia="es-ES_tradnl"/>
                <w14:ligatures w14:val="none"/>
              </w:rPr>
              <w:t>JUAN CARLOS HIDALGO PANDARES  </w:t>
            </w:r>
          </w:p>
        </w:tc>
      </w:tr>
      <w:tr w:rsidR="00C3762A" w:rsidRPr="00C3762A" w14:paraId="778A021A" w14:textId="77777777" w:rsidTr="00C3762A">
        <w:tc>
          <w:tcPr>
            <w:tcW w:w="1650" w:type="pct"/>
            <w:shd w:val="clear" w:color="auto" w:fill="FFFFFF"/>
            <w:tcMar>
              <w:top w:w="0" w:type="dxa"/>
              <w:left w:w="108" w:type="dxa"/>
              <w:bottom w:w="0" w:type="dxa"/>
              <w:right w:w="108" w:type="dxa"/>
            </w:tcMar>
            <w:hideMark/>
          </w:tcPr>
          <w:p w14:paraId="62901763" w14:textId="77777777" w:rsidR="00C3762A" w:rsidRPr="00C3762A" w:rsidRDefault="00C3762A" w:rsidP="00C3762A">
            <w:pPr>
              <w:spacing w:before="0" w:after="0"/>
              <w:ind w:firstLine="0"/>
              <w:jc w:val="center"/>
              <w:rPr>
                <w:rFonts w:eastAsia="Times New Roman" w:cs="Times New Roman"/>
                <w:kern w:val="0"/>
                <w:sz w:val="28"/>
                <w:szCs w:val="28"/>
                <w:lang w:val="es-VE" w:eastAsia="es-ES_tradnl"/>
                <w14:ligatures w14:val="none"/>
              </w:rPr>
            </w:pPr>
            <w:r w:rsidRPr="00C3762A">
              <w:rPr>
                <w:rFonts w:eastAsia="Times New Roman" w:cs="Times New Roman"/>
                <w:kern w:val="0"/>
                <w:szCs w:val="24"/>
                <w:lang w:val="es-VE" w:eastAsia="es-ES_tradnl"/>
                <w14:ligatures w14:val="none"/>
              </w:rPr>
              <w:t>El Magistrado Suplente,</w:t>
            </w:r>
          </w:p>
          <w:p w14:paraId="4CDE22A1" w14:textId="77777777" w:rsidR="00C3762A" w:rsidRPr="00C3762A" w:rsidRDefault="00C3762A" w:rsidP="00C3762A">
            <w:pPr>
              <w:spacing w:before="0" w:after="0"/>
              <w:ind w:firstLine="0"/>
              <w:jc w:val="center"/>
              <w:rPr>
                <w:rFonts w:eastAsia="Times New Roman" w:cs="Times New Roman"/>
                <w:kern w:val="0"/>
                <w:sz w:val="28"/>
                <w:szCs w:val="28"/>
                <w:lang w:val="es-VE" w:eastAsia="es-ES_tradnl"/>
                <w14:ligatures w14:val="none"/>
              </w:rPr>
            </w:pPr>
            <w:r w:rsidRPr="00C3762A">
              <w:rPr>
                <w:rFonts w:eastAsia="Times New Roman" w:cs="Times New Roman"/>
                <w:b/>
                <w:bCs/>
                <w:kern w:val="0"/>
                <w:szCs w:val="24"/>
                <w:lang w:val="es-VE" w:eastAsia="es-ES_tradnl"/>
                <w14:ligatures w14:val="none"/>
              </w:rPr>
              <w:t>EMILIO RAMOS GONZÁLEZ </w:t>
            </w:r>
          </w:p>
        </w:tc>
        <w:tc>
          <w:tcPr>
            <w:tcW w:w="2150" w:type="pct"/>
            <w:shd w:val="clear" w:color="auto" w:fill="FFFFFF"/>
            <w:tcMar>
              <w:top w:w="0" w:type="dxa"/>
              <w:left w:w="108" w:type="dxa"/>
              <w:bottom w:w="0" w:type="dxa"/>
              <w:right w:w="108" w:type="dxa"/>
            </w:tcMar>
            <w:hideMark/>
          </w:tcPr>
          <w:p w14:paraId="00E36963" w14:textId="77777777" w:rsidR="00C3762A" w:rsidRPr="00C3762A" w:rsidRDefault="00C3762A" w:rsidP="00C3762A">
            <w:pPr>
              <w:spacing w:before="0" w:after="0"/>
              <w:ind w:firstLine="0"/>
              <w:jc w:val="center"/>
              <w:rPr>
                <w:rFonts w:eastAsia="Times New Roman" w:cs="Times New Roman"/>
                <w:kern w:val="0"/>
                <w:sz w:val="28"/>
                <w:szCs w:val="28"/>
                <w:lang w:val="es-VE" w:eastAsia="es-ES_tradnl"/>
                <w14:ligatures w14:val="none"/>
              </w:rPr>
            </w:pPr>
            <w:r w:rsidRPr="00C3762A">
              <w:rPr>
                <w:rFonts w:eastAsia="Times New Roman" w:cs="Times New Roman"/>
                <w:kern w:val="0"/>
                <w:szCs w:val="24"/>
                <w:lang w:val="es-VE" w:eastAsia="es-ES_tradnl"/>
                <w14:ligatures w14:val="none"/>
              </w:rPr>
              <w:t> </w:t>
            </w:r>
          </w:p>
        </w:tc>
        <w:tc>
          <w:tcPr>
            <w:tcW w:w="1100" w:type="pct"/>
            <w:shd w:val="clear" w:color="auto" w:fill="FFFFFF"/>
            <w:tcMar>
              <w:top w:w="0" w:type="dxa"/>
              <w:left w:w="108" w:type="dxa"/>
              <w:bottom w:w="0" w:type="dxa"/>
              <w:right w:w="108" w:type="dxa"/>
            </w:tcMar>
            <w:hideMark/>
          </w:tcPr>
          <w:p w14:paraId="2F4EA7D9" w14:textId="77777777" w:rsidR="00C3762A" w:rsidRPr="00C3762A" w:rsidRDefault="00C3762A" w:rsidP="00C3762A">
            <w:pPr>
              <w:spacing w:before="0" w:after="0"/>
              <w:ind w:firstLine="0"/>
              <w:jc w:val="center"/>
              <w:rPr>
                <w:rFonts w:eastAsia="Times New Roman" w:cs="Times New Roman"/>
                <w:kern w:val="0"/>
                <w:sz w:val="28"/>
                <w:szCs w:val="28"/>
                <w:lang w:val="es-VE" w:eastAsia="es-ES_tradnl"/>
                <w14:ligatures w14:val="none"/>
              </w:rPr>
            </w:pPr>
            <w:r w:rsidRPr="00C3762A">
              <w:rPr>
                <w:rFonts w:eastAsia="Times New Roman" w:cs="Times New Roman"/>
                <w:kern w:val="0"/>
                <w:szCs w:val="24"/>
                <w:lang w:val="es-VE" w:eastAsia="es-ES_tradnl"/>
                <w14:ligatures w14:val="none"/>
              </w:rPr>
              <w:t> </w:t>
            </w:r>
          </w:p>
        </w:tc>
      </w:tr>
      <w:tr w:rsidR="00C3762A" w:rsidRPr="00C3762A" w14:paraId="53145208" w14:textId="77777777" w:rsidTr="00C3762A">
        <w:tc>
          <w:tcPr>
            <w:tcW w:w="1650" w:type="pct"/>
            <w:shd w:val="clear" w:color="auto" w:fill="FFFFFF"/>
            <w:tcMar>
              <w:top w:w="0" w:type="dxa"/>
              <w:left w:w="108" w:type="dxa"/>
              <w:bottom w:w="0" w:type="dxa"/>
              <w:right w:w="108" w:type="dxa"/>
            </w:tcMar>
            <w:hideMark/>
          </w:tcPr>
          <w:p w14:paraId="047F95B9" w14:textId="77777777" w:rsidR="00C3762A" w:rsidRPr="00C3762A" w:rsidRDefault="00C3762A" w:rsidP="00C3762A">
            <w:pPr>
              <w:spacing w:before="0" w:after="0"/>
              <w:ind w:firstLine="0"/>
              <w:jc w:val="center"/>
              <w:rPr>
                <w:rFonts w:eastAsia="Times New Roman" w:cs="Times New Roman"/>
                <w:kern w:val="0"/>
                <w:sz w:val="28"/>
                <w:szCs w:val="28"/>
                <w:lang w:val="es-VE" w:eastAsia="es-ES_tradnl"/>
                <w14:ligatures w14:val="none"/>
              </w:rPr>
            </w:pPr>
            <w:r w:rsidRPr="00C3762A">
              <w:rPr>
                <w:rFonts w:eastAsia="Times New Roman" w:cs="Times New Roman"/>
                <w:kern w:val="0"/>
                <w:szCs w:val="24"/>
                <w:lang w:val="es-VE" w:eastAsia="es-ES_tradnl"/>
                <w14:ligatures w14:val="none"/>
              </w:rPr>
              <w:t> </w:t>
            </w:r>
          </w:p>
        </w:tc>
        <w:tc>
          <w:tcPr>
            <w:tcW w:w="2150" w:type="pct"/>
            <w:shd w:val="clear" w:color="auto" w:fill="FFFFFF"/>
            <w:tcMar>
              <w:top w:w="0" w:type="dxa"/>
              <w:left w:w="108" w:type="dxa"/>
              <w:bottom w:w="0" w:type="dxa"/>
              <w:right w:w="108" w:type="dxa"/>
            </w:tcMar>
            <w:hideMark/>
          </w:tcPr>
          <w:p w14:paraId="2D9F9614" w14:textId="77777777" w:rsidR="00C3762A" w:rsidRPr="00C3762A" w:rsidRDefault="00C3762A" w:rsidP="00C3762A">
            <w:pPr>
              <w:spacing w:before="0" w:after="0"/>
              <w:ind w:firstLine="0"/>
              <w:jc w:val="center"/>
              <w:rPr>
                <w:rFonts w:eastAsia="Times New Roman" w:cs="Times New Roman"/>
                <w:kern w:val="0"/>
                <w:sz w:val="28"/>
                <w:szCs w:val="28"/>
                <w:lang w:val="es-VE" w:eastAsia="es-ES_tradnl"/>
                <w14:ligatures w14:val="none"/>
              </w:rPr>
            </w:pPr>
            <w:r w:rsidRPr="00C3762A">
              <w:rPr>
                <w:rFonts w:eastAsia="Times New Roman" w:cs="Times New Roman"/>
                <w:kern w:val="0"/>
                <w:szCs w:val="24"/>
                <w:lang w:val="es-VE" w:eastAsia="es-ES_tradnl"/>
                <w14:ligatures w14:val="none"/>
              </w:rPr>
              <w:t> </w:t>
            </w:r>
          </w:p>
        </w:tc>
        <w:tc>
          <w:tcPr>
            <w:tcW w:w="1100" w:type="pct"/>
            <w:shd w:val="clear" w:color="auto" w:fill="FFFFFF"/>
            <w:tcMar>
              <w:top w:w="0" w:type="dxa"/>
              <w:left w:w="108" w:type="dxa"/>
              <w:bottom w:w="0" w:type="dxa"/>
              <w:right w:w="108" w:type="dxa"/>
            </w:tcMar>
            <w:hideMark/>
          </w:tcPr>
          <w:p w14:paraId="5E4D35C3" w14:textId="77777777" w:rsidR="00C3762A" w:rsidRPr="00C3762A" w:rsidRDefault="00C3762A" w:rsidP="00C3762A">
            <w:pPr>
              <w:spacing w:before="0" w:after="0"/>
              <w:ind w:firstLine="0"/>
              <w:rPr>
                <w:rFonts w:eastAsia="Times New Roman" w:cs="Times New Roman"/>
                <w:kern w:val="0"/>
                <w:sz w:val="28"/>
                <w:szCs w:val="28"/>
                <w:lang w:val="es-VE" w:eastAsia="es-ES_tradnl"/>
                <w14:ligatures w14:val="none"/>
              </w:rPr>
            </w:pPr>
          </w:p>
        </w:tc>
      </w:tr>
      <w:tr w:rsidR="00C3762A" w:rsidRPr="00C3762A" w14:paraId="2C851FA3" w14:textId="77777777" w:rsidTr="00C3762A">
        <w:tc>
          <w:tcPr>
            <w:tcW w:w="1650" w:type="pct"/>
            <w:shd w:val="clear" w:color="auto" w:fill="FFFFFF"/>
            <w:tcMar>
              <w:top w:w="0" w:type="dxa"/>
              <w:left w:w="108" w:type="dxa"/>
              <w:bottom w:w="0" w:type="dxa"/>
              <w:right w:w="108" w:type="dxa"/>
            </w:tcMar>
            <w:hideMark/>
          </w:tcPr>
          <w:p w14:paraId="4D9BCEBA" w14:textId="77777777" w:rsidR="00C3762A" w:rsidRPr="00C3762A" w:rsidRDefault="00C3762A" w:rsidP="00C3762A">
            <w:pPr>
              <w:spacing w:before="0" w:after="0"/>
              <w:ind w:firstLine="0"/>
              <w:jc w:val="center"/>
              <w:rPr>
                <w:rFonts w:eastAsia="Times New Roman" w:cs="Times New Roman"/>
                <w:kern w:val="0"/>
                <w:sz w:val="28"/>
                <w:szCs w:val="28"/>
                <w:lang w:val="es-VE" w:eastAsia="es-ES_tradnl"/>
                <w14:ligatures w14:val="none"/>
              </w:rPr>
            </w:pPr>
            <w:r w:rsidRPr="00C3762A">
              <w:rPr>
                <w:rFonts w:eastAsia="Times New Roman" w:cs="Times New Roman"/>
                <w:kern w:val="0"/>
                <w:szCs w:val="24"/>
                <w:lang w:val="es-VE" w:eastAsia="es-ES_tradnl"/>
                <w14:ligatures w14:val="none"/>
              </w:rPr>
              <w:t> </w:t>
            </w:r>
          </w:p>
        </w:tc>
        <w:tc>
          <w:tcPr>
            <w:tcW w:w="2150" w:type="pct"/>
            <w:shd w:val="clear" w:color="auto" w:fill="FFFFFF"/>
            <w:tcMar>
              <w:top w:w="0" w:type="dxa"/>
              <w:left w:w="108" w:type="dxa"/>
              <w:bottom w:w="0" w:type="dxa"/>
              <w:right w:w="108" w:type="dxa"/>
            </w:tcMar>
            <w:hideMark/>
          </w:tcPr>
          <w:p w14:paraId="6D569CE5" w14:textId="77777777" w:rsidR="00C3762A" w:rsidRPr="00C3762A" w:rsidRDefault="00C3762A" w:rsidP="00C3762A">
            <w:pPr>
              <w:spacing w:before="0" w:after="0"/>
              <w:ind w:firstLine="0"/>
              <w:jc w:val="center"/>
              <w:rPr>
                <w:rFonts w:eastAsia="Times New Roman" w:cs="Times New Roman"/>
                <w:kern w:val="0"/>
                <w:sz w:val="28"/>
                <w:szCs w:val="28"/>
                <w:lang w:val="es-VE" w:eastAsia="es-ES_tradnl"/>
                <w14:ligatures w14:val="none"/>
              </w:rPr>
            </w:pPr>
            <w:r w:rsidRPr="00C3762A">
              <w:rPr>
                <w:rFonts w:eastAsia="Times New Roman" w:cs="Times New Roman"/>
                <w:kern w:val="0"/>
                <w:szCs w:val="24"/>
                <w:lang w:val="es-VE" w:eastAsia="es-ES_tradnl"/>
                <w14:ligatures w14:val="none"/>
              </w:rPr>
              <w:t> </w:t>
            </w:r>
          </w:p>
        </w:tc>
        <w:tc>
          <w:tcPr>
            <w:tcW w:w="1100" w:type="pct"/>
            <w:shd w:val="clear" w:color="auto" w:fill="FFFFFF"/>
            <w:tcMar>
              <w:top w:w="0" w:type="dxa"/>
              <w:left w:w="108" w:type="dxa"/>
              <w:bottom w:w="0" w:type="dxa"/>
              <w:right w:w="108" w:type="dxa"/>
            </w:tcMar>
            <w:hideMark/>
          </w:tcPr>
          <w:p w14:paraId="2ECDE98A" w14:textId="77777777" w:rsidR="00C3762A" w:rsidRPr="00C3762A" w:rsidRDefault="00C3762A" w:rsidP="00C3762A">
            <w:pPr>
              <w:spacing w:before="0" w:after="0"/>
              <w:ind w:firstLine="0"/>
              <w:jc w:val="center"/>
              <w:rPr>
                <w:rFonts w:eastAsia="Times New Roman" w:cs="Times New Roman"/>
                <w:kern w:val="0"/>
                <w:sz w:val="28"/>
                <w:szCs w:val="28"/>
                <w:lang w:val="es-VE" w:eastAsia="es-ES_tradnl"/>
                <w14:ligatures w14:val="none"/>
              </w:rPr>
            </w:pPr>
            <w:r w:rsidRPr="00C3762A">
              <w:rPr>
                <w:rFonts w:eastAsia="Times New Roman" w:cs="Times New Roman"/>
                <w:kern w:val="0"/>
                <w:szCs w:val="24"/>
                <w:lang w:val="es-VE" w:eastAsia="es-ES_tradnl"/>
                <w14:ligatures w14:val="none"/>
              </w:rPr>
              <w:t> </w:t>
            </w:r>
          </w:p>
        </w:tc>
      </w:tr>
      <w:tr w:rsidR="00C3762A" w:rsidRPr="00C3762A" w14:paraId="54D0EE2D" w14:textId="77777777" w:rsidTr="00C3762A">
        <w:tc>
          <w:tcPr>
            <w:tcW w:w="1650" w:type="pct"/>
            <w:shd w:val="clear" w:color="auto" w:fill="FFFFFF"/>
            <w:tcMar>
              <w:top w:w="0" w:type="dxa"/>
              <w:left w:w="108" w:type="dxa"/>
              <w:bottom w:w="0" w:type="dxa"/>
              <w:right w:w="108" w:type="dxa"/>
            </w:tcMar>
            <w:hideMark/>
          </w:tcPr>
          <w:p w14:paraId="0A1B7527" w14:textId="77777777" w:rsidR="00C3762A" w:rsidRPr="00C3762A" w:rsidRDefault="00C3762A" w:rsidP="00C3762A">
            <w:pPr>
              <w:spacing w:before="0" w:after="0"/>
              <w:ind w:firstLine="0"/>
              <w:jc w:val="center"/>
              <w:rPr>
                <w:rFonts w:eastAsia="Times New Roman" w:cs="Times New Roman"/>
                <w:kern w:val="0"/>
                <w:sz w:val="28"/>
                <w:szCs w:val="28"/>
                <w:lang w:val="es-VE" w:eastAsia="es-ES_tradnl"/>
                <w14:ligatures w14:val="none"/>
              </w:rPr>
            </w:pPr>
            <w:r w:rsidRPr="00C3762A">
              <w:rPr>
                <w:rFonts w:eastAsia="Times New Roman" w:cs="Times New Roman"/>
                <w:kern w:val="0"/>
                <w:szCs w:val="24"/>
                <w:lang w:val="es-VE" w:eastAsia="es-ES_tradnl"/>
                <w14:ligatures w14:val="none"/>
              </w:rPr>
              <w:t> </w:t>
            </w:r>
          </w:p>
        </w:tc>
        <w:tc>
          <w:tcPr>
            <w:tcW w:w="2150" w:type="pct"/>
            <w:shd w:val="clear" w:color="auto" w:fill="FFFFFF"/>
            <w:tcMar>
              <w:top w:w="0" w:type="dxa"/>
              <w:left w:w="108" w:type="dxa"/>
              <w:bottom w:w="0" w:type="dxa"/>
              <w:right w:w="108" w:type="dxa"/>
            </w:tcMar>
            <w:hideMark/>
          </w:tcPr>
          <w:p w14:paraId="5A6A10D7" w14:textId="77777777" w:rsidR="00C3762A" w:rsidRPr="00C3762A" w:rsidRDefault="00C3762A" w:rsidP="00C3762A">
            <w:pPr>
              <w:spacing w:before="0" w:after="0"/>
              <w:ind w:firstLine="0"/>
              <w:jc w:val="center"/>
              <w:rPr>
                <w:rFonts w:eastAsia="Times New Roman" w:cs="Times New Roman"/>
                <w:kern w:val="0"/>
                <w:sz w:val="28"/>
                <w:szCs w:val="28"/>
                <w:lang w:val="es-VE" w:eastAsia="es-ES_tradnl"/>
                <w14:ligatures w14:val="none"/>
              </w:rPr>
            </w:pPr>
            <w:r w:rsidRPr="00C3762A">
              <w:rPr>
                <w:rFonts w:eastAsia="Times New Roman" w:cs="Times New Roman"/>
                <w:kern w:val="0"/>
                <w:szCs w:val="24"/>
                <w:lang w:val="es-VE" w:eastAsia="es-ES_tradnl"/>
                <w14:ligatures w14:val="none"/>
              </w:rPr>
              <w:t>La Secretaria,</w:t>
            </w:r>
          </w:p>
          <w:p w14:paraId="3214E05F" w14:textId="77777777" w:rsidR="00C3762A" w:rsidRPr="00C3762A" w:rsidRDefault="00C3762A" w:rsidP="00C3762A">
            <w:pPr>
              <w:spacing w:before="0" w:after="0"/>
              <w:ind w:firstLine="0"/>
              <w:jc w:val="center"/>
              <w:rPr>
                <w:rFonts w:eastAsia="Times New Roman" w:cs="Times New Roman"/>
                <w:kern w:val="0"/>
                <w:sz w:val="28"/>
                <w:szCs w:val="28"/>
                <w:lang w:val="es-VE" w:eastAsia="es-ES_tradnl"/>
                <w14:ligatures w14:val="none"/>
              </w:rPr>
            </w:pPr>
            <w:r w:rsidRPr="00C3762A">
              <w:rPr>
                <w:rFonts w:eastAsia="Times New Roman" w:cs="Times New Roman"/>
                <w:b/>
                <w:bCs/>
                <w:kern w:val="0"/>
                <w:szCs w:val="24"/>
                <w:lang w:val="es-VE" w:eastAsia="es-ES_tradnl"/>
                <w14:ligatures w14:val="none"/>
              </w:rPr>
              <w:t>CHADIA FERMIN PEÑA</w:t>
            </w:r>
          </w:p>
        </w:tc>
        <w:tc>
          <w:tcPr>
            <w:tcW w:w="1100" w:type="pct"/>
            <w:shd w:val="clear" w:color="auto" w:fill="FFFFFF"/>
            <w:tcMar>
              <w:top w:w="0" w:type="dxa"/>
              <w:left w:w="108" w:type="dxa"/>
              <w:bottom w:w="0" w:type="dxa"/>
              <w:right w:w="108" w:type="dxa"/>
            </w:tcMar>
            <w:hideMark/>
          </w:tcPr>
          <w:p w14:paraId="65F0754D" w14:textId="77777777" w:rsidR="00C3762A" w:rsidRPr="00C3762A" w:rsidRDefault="00C3762A" w:rsidP="00C3762A">
            <w:pPr>
              <w:spacing w:before="0" w:after="0"/>
              <w:ind w:firstLine="0"/>
              <w:jc w:val="center"/>
              <w:rPr>
                <w:rFonts w:eastAsia="Times New Roman" w:cs="Times New Roman"/>
                <w:kern w:val="0"/>
                <w:sz w:val="28"/>
                <w:szCs w:val="28"/>
                <w:lang w:val="es-VE" w:eastAsia="es-ES_tradnl"/>
                <w14:ligatures w14:val="none"/>
              </w:rPr>
            </w:pPr>
            <w:r w:rsidRPr="00C3762A">
              <w:rPr>
                <w:rFonts w:eastAsia="Times New Roman" w:cs="Times New Roman"/>
                <w:kern w:val="0"/>
                <w:szCs w:val="24"/>
                <w:lang w:val="es-VE" w:eastAsia="es-ES_tradnl"/>
                <w14:ligatures w14:val="none"/>
              </w:rPr>
              <w:t> </w:t>
            </w:r>
          </w:p>
        </w:tc>
      </w:tr>
      <w:tr w:rsidR="00C3762A" w:rsidRPr="00C3762A" w14:paraId="7A1734DE" w14:textId="77777777" w:rsidTr="00C3762A">
        <w:trPr>
          <w:trHeight w:val="181"/>
        </w:trPr>
        <w:tc>
          <w:tcPr>
            <w:tcW w:w="1650" w:type="pct"/>
            <w:shd w:val="clear" w:color="auto" w:fill="FFFFFF"/>
            <w:tcMar>
              <w:top w:w="0" w:type="dxa"/>
              <w:left w:w="108" w:type="dxa"/>
              <w:bottom w:w="0" w:type="dxa"/>
              <w:right w:w="108" w:type="dxa"/>
            </w:tcMar>
            <w:hideMark/>
          </w:tcPr>
          <w:p w14:paraId="6E4E2111" w14:textId="77777777" w:rsidR="00C3762A" w:rsidRPr="00C3762A" w:rsidRDefault="00C3762A" w:rsidP="00C3762A">
            <w:pPr>
              <w:spacing w:before="0" w:after="0"/>
              <w:ind w:firstLine="0"/>
              <w:jc w:val="center"/>
              <w:rPr>
                <w:rFonts w:eastAsia="Times New Roman" w:cs="Times New Roman"/>
                <w:kern w:val="0"/>
                <w:sz w:val="28"/>
                <w:szCs w:val="28"/>
                <w:lang w:val="es-VE" w:eastAsia="es-ES_tradnl"/>
                <w14:ligatures w14:val="none"/>
              </w:rPr>
            </w:pPr>
            <w:r w:rsidRPr="00C3762A">
              <w:rPr>
                <w:rFonts w:eastAsia="Times New Roman" w:cs="Times New Roman"/>
                <w:kern w:val="0"/>
                <w:szCs w:val="24"/>
                <w:lang w:val="es-VE" w:eastAsia="es-ES_tradnl"/>
                <w14:ligatures w14:val="none"/>
              </w:rPr>
              <w:t> </w:t>
            </w:r>
          </w:p>
        </w:tc>
        <w:tc>
          <w:tcPr>
            <w:tcW w:w="2150" w:type="pct"/>
            <w:shd w:val="clear" w:color="auto" w:fill="FFFFFF"/>
            <w:tcMar>
              <w:top w:w="0" w:type="dxa"/>
              <w:left w:w="108" w:type="dxa"/>
              <w:bottom w:w="0" w:type="dxa"/>
              <w:right w:w="108" w:type="dxa"/>
            </w:tcMar>
            <w:hideMark/>
          </w:tcPr>
          <w:p w14:paraId="46577885" w14:textId="77777777" w:rsidR="00C3762A" w:rsidRPr="00C3762A" w:rsidRDefault="00C3762A" w:rsidP="00C3762A">
            <w:pPr>
              <w:spacing w:before="0" w:after="0"/>
              <w:ind w:firstLine="0"/>
              <w:jc w:val="center"/>
              <w:rPr>
                <w:rFonts w:eastAsia="Times New Roman" w:cs="Times New Roman"/>
                <w:kern w:val="0"/>
                <w:sz w:val="28"/>
                <w:szCs w:val="28"/>
                <w:lang w:val="es-VE" w:eastAsia="es-ES_tradnl"/>
                <w14:ligatures w14:val="none"/>
              </w:rPr>
            </w:pPr>
            <w:r w:rsidRPr="00C3762A">
              <w:rPr>
                <w:rFonts w:eastAsia="Times New Roman" w:cs="Times New Roman"/>
                <w:b/>
                <w:bCs/>
                <w:kern w:val="0"/>
                <w:szCs w:val="24"/>
                <w:lang w:val="es-VE" w:eastAsia="es-ES_tradnl"/>
                <w14:ligatures w14:val="none"/>
              </w:rPr>
              <w:t>En fecha</w:t>
            </w:r>
            <w:r w:rsidRPr="00C3762A">
              <w:rPr>
                <w:rFonts w:eastAsia="Times New Roman" w:cs="Times New Roman"/>
                <w:b/>
                <w:bCs/>
                <w:color w:val="000000"/>
                <w:kern w:val="0"/>
                <w:szCs w:val="24"/>
                <w:lang w:val="es-VE" w:eastAsia="es-ES_tradnl"/>
                <w14:ligatures w14:val="none"/>
              </w:rPr>
              <w:t> veinticinco </w:t>
            </w:r>
            <w:r w:rsidRPr="00C3762A">
              <w:rPr>
                <w:rFonts w:eastAsia="Times New Roman" w:cs="Times New Roman"/>
                <w:b/>
                <w:bCs/>
                <w:kern w:val="0"/>
                <w:szCs w:val="24"/>
                <w:lang w:val="es-VE" w:eastAsia="es-ES_tradnl"/>
                <w14:ligatures w14:val="none"/>
              </w:rPr>
              <w:t>(25)  de abril del año dos mil veinticuatro, se publicó y</w:t>
            </w:r>
          </w:p>
          <w:p w14:paraId="24B75D03" w14:textId="77777777" w:rsidR="00C3762A" w:rsidRPr="00C3762A" w:rsidRDefault="00C3762A" w:rsidP="00C3762A">
            <w:pPr>
              <w:spacing w:before="0" w:after="0"/>
              <w:ind w:firstLine="0"/>
              <w:jc w:val="center"/>
              <w:rPr>
                <w:rFonts w:eastAsia="Times New Roman" w:cs="Times New Roman"/>
                <w:kern w:val="0"/>
                <w:sz w:val="28"/>
                <w:szCs w:val="28"/>
                <w:lang w:val="es-VE" w:eastAsia="es-ES_tradnl"/>
                <w14:ligatures w14:val="none"/>
              </w:rPr>
            </w:pPr>
            <w:r w:rsidRPr="00C3762A">
              <w:rPr>
                <w:rFonts w:eastAsia="Times New Roman" w:cs="Times New Roman"/>
                <w:b/>
                <w:bCs/>
                <w:kern w:val="0"/>
                <w:szCs w:val="24"/>
                <w:lang w:val="es-VE" w:eastAsia="es-ES_tradnl"/>
                <w14:ligatures w14:val="none"/>
              </w:rPr>
              <w:t> registró la anterior sentencia bajo el  Nº 00178.</w:t>
            </w:r>
          </w:p>
        </w:tc>
        <w:tc>
          <w:tcPr>
            <w:tcW w:w="1100" w:type="pct"/>
            <w:shd w:val="clear" w:color="auto" w:fill="FFFFFF"/>
            <w:tcMar>
              <w:top w:w="0" w:type="dxa"/>
              <w:left w:w="108" w:type="dxa"/>
              <w:bottom w:w="0" w:type="dxa"/>
              <w:right w:w="108" w:type="dxa"/>
            </w:tcMar>
            <w:hideMark/>
          </w:tcPr>
          <w:p w14:paraId="2977F5A3" w14:textId="77777777" w:rsidR="00C3762A" w:rsidRPr="00C3762A" w:rsidRDefault="00C3762A" w:rsidP="00C3762A">
            <w:pPr>
              <w:spacing w:before="0" w:after="0"/>
              <w:ind w:firstLine="0"/>
              <w:jc w:val="center"/>
              <w:rPr>
                <w:rFonts w:eastAsia="Times New Roman" w:cs="Times New Roman"/>
                <w:kern w:val="0"/>
                <w:sz w:val="28"/>
                <w:szCs w:val="28"/>
                <w:lang w:val="es-VE" w:eastAsia="es-ES_tradnl"/>
                <w14:ligatures w14:val="none"/>
              </w:rPr>
            </w:pPr>
            <w:r w:rsidRPr="00C3762A">
              <w:rPr>
                <w:rFonts w:eastAsia="Times New Roman" w:cs="Times New Roman"/>
                <w:kern w:val="0"/>
                <w:szCs w:val="24"/>
                <w:lang w:val="es-VE" w:eastAsia="es-ES_tradnl"/>
                <w14:ligatures w14:val="none"/>
              </w:rPr>
              <w:t> </w:t>
            </w:r>
          </w:p>
        </w:tc>
      </w:tr>
      <w:tr w:rsidR="00C3762A" w:rsidRPr="00C3762A" w14:paraId="1F1509EB" w14:textId="77777777" w:rsidTr="00C3762A">
        <w:trPr>
          <w:trHeight w:val="93"/>
        </w:trPr>
        <w:tc>
          <w:tcPr>
            <w:tcW w:w="1650" w:type="pct"/>
            <w:shd w:val="clear" w:color="auto" w:fill="FFFFFF"/>
            <w:tcMar>
              <w:top w:w="0" w:type="dxa"/>
              <w:left w:w="108" w:type="dxa"/>
              <w:bottom w:w="0" w:type="dxa"/>
              <w:right w:w="108" w:type="dxa"/>
            </w:tcMar>
            <w:hideMark/>
          </w:tcPr>
          <w:p w14:paraId="675433DD" w14:textId="77777777" w:rsidR="00C3762A" w:rsidRPr="00C3762A" w:rsidRDefault="00C3762A" w:rsidP="00C3762A">
            <w:pPr>
              <w:spacing w:before="0" w:after="0"/>
              <w:ind w:firstLine="0"/>
              <w:jc w:val="center"/>
              <w:rPr>
                <w:rFonts w:eastAsia="Times New Roman" w:cs="Times New Roman"/>
                <w:kern w:val="0"/>
                <w:sz w:val="28"/>
                <w:szCs w:val="28"/>
                <w:lang w:val="es-VE" w:eastAsia="es-ES_tradnl"/>
                <w14:ligatures w14:val="none"/>
              </w:rPr>
            </w:pPr>
            <w:r w:rsidRPr="00C3762A">
              <w:rPr>
                <w:rFonts w:eastAsia="Times New Roman" w:cs="Times New Roman"/>
                <w:kern w:val="0"/>
                <w:szCs w:val="24"/>
                <w:lang w:val="es-VE" w:eastAsia="es-ES_tradnl"/>
                <w14:ligatures w14:val="none"/>
              </w:rPr>
              <w:t> </w:t>
            </w:r>
          </w:p>
        </w:tc>
        <w:tc>
          <w:tcPr>
            <w:tcW w:w="2150" w:type="pct"/>
            <w:shd w:val="clear" w:color="auto" w:fill="FFFFFF"/>
            <w:tcMar>
              <w:top w:w="0" w:type="dxa"/>
              <w:left w:w="108" w:type="dxa"/>
              <w:bottom w:w="0" w:type="dxa"/>
              <w:right w:w="108" w:type="dxa"/>
            </w:tcMar>
            <w:hideMark/>
          </w:tcPr>
          <w:p w14:paraId="245691DC" w14:textId="77777777" w:rsidR="00C3762A" w:rsidRPr="00C3762A" w:rsidRDefault="00C3762A" w:rsidP="00C3762A">
            <w:pPr>
              <w:spacing w:before="0" w:after="0"/>
              <w:ind w:firstLine="0"/>
              <w:jc w:val="center"/>
              <w:rPr>
                <w:rFonts w:eastAsia="Times New Roman" w:cs="Times New Roman"/>
                <w:kern w:val="0"/>
                <w:sz w:val="28"/>
                <w:szCs w:val="28"/>
                <w:lang w:val="es-VE" w:eastAsia="es-ES_tradnl"/>
                <w14:ligatures w14:val="none"/>
              </w:rPr>
            </w:pPr>
            <w:r w:rsidRPr="00C3762A">
              <w:rPr>
                <w:rFonts w:eastAsia="Times New Roman" w:cs="Times New Roman"/>
                <w:kern w:val="0"/>
                <w:szCs w:val="24"/>
                <w:lang w:val="es-VE" w:eastAsia="es-ES_tradnl"/>
                <w14:ligatures w14:val="none"/>
              </w:rPr>
              <w:t>La Secretaria,</w:t>
            </w:r>
          </w:p>
          <w:p w14:paraId="28265FF8" w14:textId="77777777" w:rsidR="00C3762A" w:rsidRPr="00C3762A" w:rsidRDefault="00C3762A" w:rsidP="00C3762A">
            <w:pPr>
              <w:spacing w:before="0" w:after="0"/>
              <w:ind w:firstLine="0"/>
              <w:jc w:val="center"/>
              <w:rPr>
                <w:rFonts w:eastAsia="Times New Roman" w:cs="Times New Roman"/>
                <w:kern w:val="0"/>
                <w:sz w:val="28"/>
                <w:szCs w:val="28"/>
                <w:lang w:val="es-VE" w:eastAsia="es-ES_tradnl"/>
                <w14:ligatures w14:val="none"/>
              </w:rPr>
            </w:pPr>
            <w:r w:rsidRPr="00C3762A">
              <w:rPr>
                <w:rFonts w:eastAsia="Times New Roman" w:cs="Times New Roman"/>
                <w:b/>
                <w:bCs/>
                <w:kern w:val="0"/>
                <w:szCs w:val="24"/>
                <w:lang w:val="es-VE" w:eastAsia="es-ES_tradnl"/>
                <w14:ligatures w14:val="none"/>
              </w:rPr>
              <w:t>CHADIA FERMIN PEÑA</w:t>
            </w:r>
          </w:p>
        </w:tc>
        <w:tc>
          <w:tcPr>
            <w:tcW w:w="0" w:type="auto"/>
            <w:shd w:val="clear" w:color="auto" w:fill="FFFFFF"/>
            <w:vAlign w:val="center"/>
            <w:hideMark/>
          </w:tcPr>
          <w:p w14:paraId="633C65AA" w14:textId="77777777" w:rsidR="00C3762A" w:rsidRPr="00C3762A" w:rsidRDefault="00C3762A" w:rsidP="00C3762A">
            <w:pPr>
              <w:spacing w:before="0" w:after="0"/>
              <w:ind w:firstLine="0"/>
              <w:rPr>
                <w:rFonts w:eastAsia="Times New Roman" w:cs="Times New Roman"/>
                <w:kern w:val="0"/>
                <w:sz w:val="28"/>
                <w:szCs w:val="28"/>
                <w:lang w:val="es-VE" w:eastAsia="es-ES_tradnl"/>
                <w14:ligatures w14:val="none"/>
              </w:rPr>
            </w:pPr>
          </w:p>
        </w:tc>
      </w:tr>
    </w:tbl>
    <w:p w14:paraId="052A4A13" w14:textId="77777777" w:rsidR="00C3762A" w:rsidRPr="00C3762A" w:rsidRDefault="00C3762A" w:rsidP="00C3762A">
      <w:pPr>
        <w:spacing w:line="420" w:lineRule="atLeast"/>
        <w:ind w:firstLine="680"/>
        <w:jc w:val="both"/>
        <w:rPr>
          <w:rFonts w:eastAsia="Times New Roman" w:cs="Times New Roman"/>
          <w:color w:val="000000"/>
          <w:kern w:val="0"/>
          <w:sz w:val="28"/>
          <w:szCs w:val="28"/>
          <w:lang w:val="es-VE" w:eastAsia="es-ES_tradnl"/>
          <w14:ligatures w14:val="none"/>
        </w:rPr>
      </w:pPr>
      <w:r w:rsidRPr="00C3762A">
        <w:rPr>
          <w:rFonts w:eastAsia="Times New Roman" w:cs="Times New Roman"/>
          <w:b/>
          <w:bCs/>
          <w:color w:val="000000"/>
          <w:kern w:val="0"/>
          <w:szCs w:val="24"/>
          <w:lang w:val="es-VE" w:eastAsia="es-ES_tradnl"/>
          <w14:ligatures w14:val="none"/>
        </w:rPr>
        <w:t> </w:t>
      </w:r>
    </w:p>
    <w:p w14:paraId="3D697651" w14:textId="77777777" w:rsidR="00A12D3B" w:rsidRPr="00C3762A" w:rsidRDefault="00A12D3B">
      <w:pPr>
        <w:rPr>
          <w:lang w:val="es-VE"/>
        </w:rPr>
      </w:pPr>
    </w:p>
    <w:sectPr w:rsidR="00A12D3B" w:rsidRPr="00C3762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webkit-standard">
    <w:altName w:val="Cambria"/>
    <w:panose1 w:val="020B06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62A"/>
    <w:rsid w:val="0003180F"/>
    <w:rsid w:val="00182B90"/>
    <w:rsid w:val="002E0443"/>
    <w:rsid w:val="003839E4"/>
    <w:rsid w:val="00545968"/>
    <w:rsid w:val="00694FFF"/>
    <w:rsid w:val="007246A3"/>
    <w:rsid w:val="00795282"/>
    <w:rsid w:val="0080544B"/>
    <w:rsid w:val="009B655C"/>
    <w:rsid w:val="009B6AD6"/>
    <w:rsid w:val="00A12D3B"/>
    <w:rsid w:val="00A33ADD"/>
    <w:rsid w:val="00A814AA"/>
    <w:rsid w:val="00B26F12"/>
    <w:rsid w:val="00C3762A"/>
    <w:rsid w:val="00C416BD"/>
    <w:rsid w:val="00C4694E"/>
    <w:rsid w:val="00D43557"/>
    <w:rsid w:val="00F42A94"/>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decimalSymbol w:val=","/>
  <w:listSeparator w:val=";"/>
  <w14:docId w14:val="010AEF11"/>
  <w15:chartTrackingRefBased/>
  <w15:docId w15:val="{505C0F33-67FF-064B-934E-046A5E5FD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V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0443"/>
    <w:pPr>
      <w:spacing w:before="120" w:after="120"/>
      <w:ind w:firstLine="709"/>
    </w:pPr>
    <w:rPr>
      <w:rFonts w:ascii="Times New Roman" w:eastAsiaTheme="minorEastAsia" w:hAnsi="Times New Roman"/>
      <w:szCs w:val="22"/>
      <w:lang w:val="es-ES" w:eastAsia="es-ES"/>
    </w:rPr>
  </w:style>
  <w:style w:type="paragraph" w:styleId="Ttulo1">
    <w:name w:val="heading 1"/>
    <w:basedOn w:val="Normal"/>
    <w:next w:val="Normal"/>
    <w:link w:val="Ttulo1Car"/>
    <w:autoRedefine/>
    <w:uiPriority w:val="9"/>
    <w:qFormat/>
    <w:rsid w:val="00A33ADD"/>
    <w:pPr>
      <w:spacing w:after="240"/>
      <w:jc w:val="center"/>
      <w:outlineLvl w:val="0"/>
    </w:pPr>
    <w:rPr>
      <w:rFonts w:cs="Arial"/>
      <w:b/>
      <w:bCs/>
      <w:sz w:val="28"/>
      <w:szCs w:val="20"/>
    </w:rPr>
  </w:style>
  <w:style w:type="paragraph" w:styleId="Ttulo2">
    <w:name w:val="heading 2"/>
    <w:basedOn w:val="Normal"/>
    <w:next w:val="Normal"/>
    <w:link w:val="Ttulo2Car"/>
    <w:uiPriority w:val="9"/>
    <w:semiHidden/>
    <w:unhideWhenUsed/>
    <w:qFormat/>
    <w:rsid w:val="00C376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3762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3762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tulo5">
    <w:name w:val="heading 5"/>
    <w:basedOn w:val="Normal"/>
    <w:next w:val="Normal"/>
    <w:link w:val="Ttulo5Car"/>
    <w:uiPriority w:val="9"/>
    <w:semiHidden/>
    <w:unhideWhenUsed/>
    <w:qFormat/>
    <w:rsid w:val="00C3762A"/>
    <w:pPr>
      <w:keepNext/>
      <w:keepLines/>
      <w:spacing w:before="80" w:after="40"/>
      <w:outlineLvl w:val="4"/>
    </w:pPr>
    <w:rPr>
      <w:rFonts w:asciiTheme="minorHAnsi" w:eastAsiaTheme="majorEastAsia" w:hAnsiTheme="minorHAnsi" w:cstheme="majorBidi"/>
      <w:color w:val="0F4761" w:themeColor="accent1" w:themeShade="BF"/>
    </w:rPr>
  </w:style>
  <w:style w:type="paragraph" w:styleId="Ttulo6">
    <w:name w:val="heading 6"/>
    <w:basedOn w:val="Normal"/>
    <w:next w:val="Normal"/>
    <w:link w:val="Ttulo6Car"/>
    <w:uiPriority w:val="9"/>
    <w:semiHidden/>
    <w:unhideWhenUsed/>
    <w:qFormat/>
    <w:rsid w:val="00C3762A"/>
    <w:pPr>
      <w:keepNext/>
      <w:keepLines/>
      <w:spacing w:before="40" w:after="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ar"/>
    <w:uiPriority w:val="9"/>
    <w:semiHidden/>
    <w:unhideWhenUsed/>
    <w:qFormat/>
    <w:rsid w:val="00C3762A"/>
    <w:pPr>
      <w:keepNext/>
      <w:keepLines/>
      <w:spacing w:before="40" w:after="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
    <w:uiPriority w:val="9"/>
    <w:semiHidden/>
    <w:unhideWhenUsed/>
    <w:qFormat/>
    <w:rsid w:val="00C3762A"/>
    <w:pPr>
      <w:keepNext/>
      <w:keepLines/>
      <w:spacing w:before="0" w:after="0"/>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iPriority w:val="9"/>
    <w:semiHidden/>
    <w:unhideWhenUsed/>
    <w:qFormat/>
    <w:rsid w:val="00C3762A"/>
    <w:pPr>
      <w:keepNext/>
      <w:keepLines/>
      <w:spacing w:before="0" w:after="0"/>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33ADD"/>
    <w:rPr>
      <w:rFonts w:cs="Arial"/>
      <w:b/>
      <w:bCs/>
      <w:sz w:val="28"/>
      <w:szCs w:val="20"/>
    </w:rPr>
  </w:style>
  <w:style w:type="paragraph" w:styleId="Sinespaciado">
    <w:name w:val="No Spacing"/>
    <w:uiPriority w:val="1"/>
    <w:qFormat/>
    <w:rsid w:val="009B655C"/>
    <w:pPr>
      <w:jc w:val="both"/>
    </w:pPr>
    <w:rPr>
      <w:rFonts w:ascii="Arial" w:hAnsi="Arial"/>
      <w:i/>
      <w:kern w:val="0"/>
      <w:sz w:val="20"/>
      <w:szCs w:val="22"/>
      <w14:ligatures w14:val="none"/>
    </w:rPr>
  </w:style>
  <w:style w:type="paragraph" w:styleId="Piedepgina">
    <w:name w:val="footer"/>
    <w:basedOn w:val="Normal"/>
    <w:link w:val="PiedepginaCar"/>
    <w:uiPriority w:val="99"/>
    <w:unhideWhenUsed/>
    <w:qFormat/>
    <w:rsid w:val="00795282"/>
    <w:pPr>
      <w:tabs>
        <w:tab w:val="center" w:pos="4419"/>
        <w:tab w:val="right" w:pos="8838"/>
      </w:tabs>
      <w:jc w:val="both"/>
    </w:pPr>
    <w:rPr>
      <w:lang w:val="es-VE"/>
    </w:rPr>
  </w:style>
  <w:style w:type="character" w:customStyle="1" w:styleId="PiedepginaCar">
    <w:name w:val="Pie de página Car"/>
    <w:basedOn w:val="Fuentedeprrafopredeter"/>
    <w:link w:val="Piedepgina"/>
    <w:uiPriority w:val="99"/>
    <w:rsid w:val="00795282"/>
    <w:rPr>
      <w:rFonts w:ascii="Times New Roman" w:hAnsi="Times New Roman"/>
      <w:szCs w:val="22"/>
    </w:rPr>
  </w:style>
  <w:style w:type="paragraph" w:styleId="Cita">
    <w:name w:val="Quote"/>
    <w:basedOn w:val="Normal"/>
    <w:next w:val="Normal"/>
    <w:link w:val="CitaCar"/>
    <w:autoRedefine/>
    <w:uiPriority w:val="29"/>
    <w:qFormat/>
    <w:rsid w:val="00545968"/>
    <w:pPr>
      <w:spacing w:before="0" w:after="0"/>
      <w:ind w:firstLine="0"/>
      <w:jc w:val="both"/>
    </w:pPr>
    <w:rPr>
      <w:rFonts w:eastAsiaTheme="minorHAnsi"/>
      <w:iCs/>
      <w:color w:val="000000" w:themeColor="text1"/>
      <w:sz w:val="20"/>
      <w:szCs w:val="20"/>
      <w:lang w:val="es-MX" w:eastAsia="en-US"/>
    </w:rPr>
  </w:style>
  <w:style w:type="character" w:customStyle="1" w:styleId="CitaCar">
    <w:name w:val="Cita Car"/>
    <w:basedOn w:val="Fuentedeprrafopredeter"/>
    <w:link w:val="Cita"/>
    <w:uiPriority w:val="29"/>
    <w:rsid w:val="00545968"/>
    <w:rPr>
      <w:rFonts w:ascii="Times New Roman" w:hAnsi="Times New Roman"/>
      <w:iCs/>
      <w:color w:val="000000" w:themeColor="text1"/>
      <w:sz w:val="20"/>
      <w:szCs w:val="20"/>
      <w:lang w:val="es-MX"/>
    </w:rPr>
  </w:style>
  <w:style w:type="character" w:customStyle="1" w:styleId="Ttulo2Car">
    <w:name w:val="Título 2 Car"/>
    <w:basedOn w:val="Fuentedeprrafopredeter"/>
    <w:link w:val="Ttulo2"/>
    <w:uiPriority w:val="9"/>
    <w:semiHidden/>
    <w:rsid w:val="00C3762A"/>
    <w:rPr>
      <w:rFonts w:asciiTheme="majorHAnsi" w:eastAsiaTheme="majorEastAsia" w:hAnsiTheme="majorHAnsi" w:cstheme="majorBidi"/>
      <w:color w:val="0F4761" w:themeColor="accent1" w:themeShade="BF"/>
      <w:sz w:val="32"/>
      <w:szCs w:val="32"/>
      <w:lang w:val="es-ES" w:eastAsia="es-ES"/>
    </w:rPr>
  </w:style>
  <w:style w:type="character" w:customStyle="1" w:styleId="Ttulo3Car">
    <w:name w:val="Título 3 Car"/>
    <w:basedOn w:val="Fuentedeprrafopredeter"/>
    <w:link w:val="Ttulo3"/>
    <w:uiPriority w:val="9"/>
    <w:semiHidden/>
    <w:rsid w:val="00C3762A"/>
    <w:rPr>
      <w:rFonts w:eastAsiaTheme="majorEastAsia" w:cstheme="majorBidi"/>
      <w:color w:val="0F4761" w:themeColor="accent1" w:themeShade="BF"/>
      <w:sz w:val="28"/>
      <w:szCs w:val="28"/>
      <w:lang w:val="es-ES" w:eastAsia="es-ES"/>
    </w:rPr>
  </w:style>
  <w:style w:type="character" w:customStyle="1" w:styleId="Ttulo4Car">
    <w:name w:val="Título 4 Car"/>
    <w:basedOn w:val="Fuentedeprrafopredeter"/>
    <w:link w:val="Ttulo4"/>
    <w:uiPriority w:val="9"/>
    <w:semiHidden/>
    <w:rsid w:val="00C3762A"/>
    <w:rPr>
      <w:rFonts w:eastAsiaTheme="majorEastAsia" w:cstheme="majorBidi"/>
      <w:i/>
      <w:iCs/>
      <w:color w:val="0F4761" w:themeColor="accent1" w:themeShade="BF"/>
      <w:szCs w:val="22"/>
      <w:lang w:val="es-ES" w:eastAsia="es-ES"/>
    </w:rPr>
  </w:style>
  <w:style w:type="character" w:customStyle="1" w:styleId="Ttulo5Car">
    <w:name w:val="Título 5 Car"/>
    <w:basedOn w:val="Fuentedeprrafopredeter"/>
    <w:link w:val="Ttulo5"/>
    <w:uiPriority w:val="9"/>
    <w:semiHidden/>
    <w:rsid w:val="00C3762A"/>
    <w:rPr>
      <w:rFonts w:eastAsiaTheme="majorEastAsia" w:cstheme="majorBidi"/>
      <w:color w:val="0F4761" w:themeColor="accent1" w:themeShade="BF"/>
      <w:szCs w:val="22"/>
      <w:lang w:val="es-ES" w:eastAsia="es-ES"/>
    </w:rPr>
  </w:style>
  <w:style w:type="character" w:customStyle="1" w:styleId="Ttulo6Car">
    <w:name w:val="Título 6 Car"/>
    <w:basedOn w:val="Fuentedeprrafopredeter"/>
    <w:link w:val="Ttulo6"/>
    <w:uiPriority w:val="9"/>
    <w:semiHidden/>
    <w:rsid w:val="00C3762A"/>
    <w:rPr>
      <w:rFonts w:eastAsiaTheme="majorEastAsia" w:cstheme="majorBidi"/>
      <w:i/>
      <w:iCs/>
      <w:color w:val="595959" w:themeColor="text1" w:themeTint="A6"/>
      <w:szCs w:val="22"/>
      <w:lang w:val="es-ES" w:eastAsia="es-ES"/>
    </w:rPr>
  </w:style>
  <w:style w:type="character" w:customStyle="1" w:styleId="Ttulo7Car">
    <w:name w:val="Título 7 Car"/>
    <w:basedOn w:val="Fuentedeprrafopredeter"/>
    <w:link w:val="Ttulo7"/>
    <w:uiPriority w:val="9"/>
    <w:semiHidden/>
    <w:rsid w:val="00C3762A"/>
    <w:rPr>
      <w:rFonts w:eastAsiaTheme="majorEastAsia" w:cstheme="majorBidi"/>
      <w:color w:val="595959" w:themeColor="text1" w:themeTint="A6"/>
      <w:szCs w:val="22"/>
      <w:lang w:val="es-ES" w:eastAsia="es-ES"/>
    </w:rPr>
  </w:style>
  <w:style w:type="character" w:customStyle="1" w:styleId="Ttulo8Car">
    <w:name w:val="Título 8 Car"/>
    <w:basedOn w:val="Fuentedeprrafopredeter"/>
    <w:link w:val="Ttulo8"/>
    <w:uiPriority w:val="9"/>
    <w:semiHidden/>
    <w:rsid w:val="00C3762A"/>
    <w:rPr>
      <w:rFonts w:eastAsiaTheme="majorEastAsia" w:cstheme="majorBidi"/>
      <w:i/>
      <w:iCs/>
      <w:color w:val="272727" w:themeColor="text1" w:themeTint="D8"/>
      <w:szCs w:val="22"/>
      <w:lang w:val="es-ES" w:eastAsia="es-ES"/>
    </w:rPr>
  </w:style>
  <w:style w:type="character" w:customStyle="1" w:styleId="Ttulo9Car">
    <w:name w:val="Título 9 Car"/>
    <w:basedOn w:val="Fuentedeprrafopredeter"/>
    <w:link w:val="Ttulo9"/>
    <w:uiPriority w:val="9"/>
    <w:semiHidden/>
    <w:rsid w:val="00C3762A"/>
    <w:rPr>
      <w:rFonts w:eastAsiaTheme="majorEastAsia" w:cstheme="majorBidi"/>
      <w:color w:val="272727" w:themeColor="text1" w:themeTint="D8"/>
      <w:szCs w:val="22"/>
      <w:lang w:val="es-ES" w:eastAsia="es-ES"/>
    </w:rPr>
  </w:style>
  <w:style w:type="paragraph" w:styleId="Ttulo">
    <w:name w:val="Title"/>
    <w:basedOn w:val="Normal"/>
    <w:next w:val="Normal"/>
    <w:link w:val="TtuloCar"/>
    <w:uiPriority w:val="10"/>
    <w:qFormat/>
    <w:rsid w:val="00C3762A"/>
    <w:pPr>
      <w:spacing w:before="0"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3762A"/>
    <w:rPr>
      <w:rFonts w:asciiTheme="majorHAnsi" w:eastAsiaTheme="majorEastAsia" w:hAnsiTheme="majorHAnsi" w:cstheme="majorBidi"/>
      <w:spacing w:val="-10"/>
      <w:kern w:val="28"/>
      <w:sz w:val="56"/>
      <w:szCs w:val="56"/>
      <w:lang w:val="es-ES" w:eastAsia="es-ES"/>
    </w:rPr>
  </w:style>
  <w:style w:type="paragraph" w:styleId="Subttulo">
    <w:name w:val="Subtitle"/>
    <w:basedOn w:val="Normal"/>
    <w:next w:val="Normal"/>
    <w:link w:val="SubttuloCar"/>
    <w:uiPriority w:val="11"/>
    <w:qFormat/>
    <w:rsid w:val="00C3762A"/>
    <w:pPr>
      <w:numPr>
        <w:ilvl w:val="1"/>
      </w:numPr>
      <w:spacing w:after="160"/>
      <w:ind w:firstLine="709"/>
    </w:pPr>
    <w:rPr>
      <w:rFonts w:asciiTheme="minorHAnsi" w:eastAsiaTheme="majorEastAsia" w:hAnsiTheme="minorHAnsi"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3762A"/>
    <w:rPr>
      <w:rFonts w:eastAsiaTheme="majorEastAsia" w:cstheme="majorBidi"/>
      <w:color w:val="595959" w:themeColor="text1" w:themeTint="A6"/>
      <w:spacing w:val="15"/>
      <w:sz w:val="28"/>
      <w:szCs w:val="28"/>
      <w:lang w:val="es-ES" w:eastAsia="es-ES"/>
    </w:rPr>
  </w:style>
  <w:style w:type="paragraph" w:styleId="Prrafodelista">
    <w:name w:val="List Paragraph"/>
    <w:basedOn w:val="Normal"/>
    <w:uiPriority w:val="34"/>
    <w:qFormat/>
    <w:rsid w:val="00C3762A"/>
    <w:pPr>
      <w:ind w:left="720"/>
      <w:contextualSpacing/>
    </w:pPr>
  </w:style>
  <w:style w:type="character" w:styleId="nfasisintenso">
    <w:name w:val="Intense Emphasis"/>
    <w:basedOn w:val="Fuentedeprrafopredeter"/>
    <w:uiPriority w:val="21"/>
    <w:qFormat/>
    <w:rsid w:val="00C3762A"/>
    <w:rPr>
      <w:i/>
      <w:iCs/>
      <w:color w:val="0F4761" w:themeColor="accent1" w:themeShade="BF"/>
    </w:rPr>
  </w:style>
  <w:style w:type="paragraph" w:styleId="Citadestacada">
    <w:name w:val="Intense Quote"/>
    <w:basedOn w:val="Normal"/>
    <w:next w:val="Normal"/>
    <w:link w:val="CitadestacadaCar"/>
    <w:uiPriority w:val="30"/>
    <w:qFormat/>
    <w:rsid w:val="00C376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3762A"/>
    <w:rPr>
      <w:rFonts w:ascii="Times New Roman" w:eastAsiaTheme="minorEastAsia" w:hAnsi="Times New Roman"/>
      <w:i/>
      <w:iCs/>
      <w:color w:val="0F4761" w:themeColor="accent1" w:themeShade="BF"/>
      <w:szCs w:val="22"/>
      <w:lang w:val="es-ES" w:eastAsia="es-ES"/>
    </w:rPr>
  </w:style>
  <w:style w:type="character" w:styleId="Referenciaintensa">
    <w:name w:val="Intense Reference"/>
    <w:basedOn w:val="Fuentedeprrafopredeter"/>
    <w:uiPriority w:val="32"/>
    <w:qFormat/>
    <w:rsid w:val="00C3762A"/>
    <w:rPr>
      <w:b/>
      <w:bCs/>
      <w:smallCaps/>
      <w:color w:val="0F4761" w:themeColor="accent1" w:themeShade="BF"/>
      <w:spacing w:val="5"/>
    </w:rPr>
  </w:style>
  <w:style w:type="character" w:customStyle="1" w:styleId="apple-converted-space">
    <w:name w:val="apple-converted-space"/>
    <w:basedOn w:val="Fuentedeprrafopredeter"/>
    <w:rsid w:val="00C3762A"/>
  </w:style>
  <w:style w:type="character" w:styleId="Hipervnculo">
    <w:name w:val="Hyperlink"/>
    <w:basedOn w:val="Fuentedeprrafopredeter"/>
    <w:uiPriority w:val="99"/>
    <w:semiHidden/>
    <w:unhideWhenUsed/>
    <w:rsid w:val="00C3762A"/>
    <w:rPr>
      <w:color w:val="0000FF"/>
      <w:u w:val="single"/>
    </w:rPr>
  </w:style>
  <w:style w:type="paragraph" w:customStyle="1" w:styleId="normal0">
    <w:name w:val="normal"/>
    <w:basedOn w:val="Normal"/>
    <w:rsid w:val="00C3762A"/>
    <w:pPr>
      <w:spacing w:before="100" w:beforeAutospacing="1" w:after="100" w:afterAutospacing="1"/>
      <w:ind w:firstLine="0"/>
    </w:pPr>
    <w:rPr>
      <w:rFonts w:eastAsia="Times New Roman" w:cs="Times New Roman"/>
      <w:kern w:val="0"/>
      <w:szCs w:val="24"/>
      <w:lang w:val="es-VE" w:eastAsia="es-ES_tradnl"/>
      <w14:ligatures w14:val="none"/>
    </w:rPr>
  </w:style>
  <w:style w:type="paragraph" w:styleId="Encabezado">
    <w:name w:val="header"/>
    <w:basedOn w:val="Normal"/>
    <w:link w:val="EncabezadoCar"/>
    <w:uiPriority w:val="99"/>
    <w:semiHidden/>
    <w:unhideWhenUsed/>
    <w:rsid w:val="00C3762A"/>
    <w:pPr>
      <w:spacing w:before="100" w:beforeAutospacing="1" w:after="100" w:afterAutospacing="1"/>
      <w:ind w:firstLine="0"/>
    </w:pPr>
    <w:rPr>
      <w:rFonts w:eastAsia="Times New Roman" w:cs="Times New Roman"/>
      <w:kern w:val="0"/>
      <w:szCs w:val="24"/>
      <w:lang w:val="es-VE" w:eastAsia="es-ES_tradnl"/>
      <w14:ligatures w14:val="none"/>
    </w:rPr>
  </w:style>
  <w:style w:type="character" w:customStyle="1" w:styleId="EncabezadoCar">
    <w:name w:val="Encabezado Car"/>
    <w:basedOn w:val="Fuentedeprrafopredeter"/>
    <w:link w:val="Encabezado"/>
    <w:uiPriority w:val="99"/>
    <w:semiHidden/>
    <w:rsid w:val="00C3762A"/>
    <w:rPr>
      <w:rFonts w:ascii="Times New Roman" w:eastAsia="Times New Roman" w:hAnsi="Times New Roman" w:cs="Times New Roman"/>
      <w:kern w:val="0"/>
      <w:lang w:eastAsia="es-ES_trad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550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sj.gob.ve/es/-/malaquias-gil-rodrigu-1" TargetMode="Externa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27</Pages>
  <Words>9452</Words>
  <Characters>51986</Characters>
  <Application>Microsoft Office Word</Application>
  <DocSecurity>0</DocSecurity>
  <Lines>433</Lines>
  <Paragraphs>122</Paragraphs>
  <ScaleCrop>false</ScaleCrop>
  <Company/>
  <LinksUpToDate>false</LinksUpToDate>
  <CharactersWithSpaces>61316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 Díaz</dc:creator>
  <cp:keywords/>
  <dc:description/>
  <cp:lastModifiedBy>Julio Díaz</cp:lastModifiedBy>
  <cp:revision>2</cp:revision>
  <dcterms:created xsi:type="dcterms:W3CDTF">2024-04-30T16:40:00Z</dcterms:created>
  <dcterms:modified xsi:type="dcterms:W3CDTF">2024-04-30T16:50:00Z</dcterms:modified>
</cp:coreProperties>
</file>