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C14B0"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br/>
        <w:t>Magistrada Ponente:</w:t>
      </w:r>
      <w:r w:rsidRPr="00616C3F">
        <w:rPr>
          <w:rFonts w:ascii="Times New Roman" w:eastAsia="Times New Roman" w:hAnsi="Times New Roman" w:cs="Times New Roman"/>
          <w:b/>
          <w:bCs/>
          <w:color w:val="000000"/>
          <w:kern w:val="0"/>
          <w:lang w:val="es-VE" w:eastAsia="es-ES_tradnl"/>
          <w14:ligatures w14:val="none"/>
        </w:rPr>
        <w:t> BÁRBARA GABRIELA CÉSAR SIERO</w:t>
      </w:r>
      <w:r w:rsidRPr="00616C3F">
        <w:rPr>
          <w:rFonts w:ascii="Times New Roman" w:eastAsia="Times New Roman" w:hAnsi="Times New Roman" w:cs="Times New Roman"/>
          <w:b/>
          <w:bCs/>
          <w:color w:val="000000"/>
          <w:kern w:val="0"/>
          <w:sz w:val="48"/>
          <w:szCs w:val="48"/>
          <w:lang w:val="es-VE" w:eastAsia="es-ES_tradnl"/>
          <w14:ligatures w14:val="none"/>
        </w:rPr>
        <w:t> </w:t>
      </w:r>
    </w:p>
    <w:p w14:paraId="2F2274B6"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Exp. N° 2022-0182</w:t>
      </w:r>
      <w:r w:rsidRPr="00616C3F">
        <w:rPr>
          <w:rFonts w:ascii="Times New Roman" w:eastAsia="Times New Roman" w:hAnsi="Times New Roman" w:cs="Times New Roman"/>
          <w:b/>
          <w:bCs/>
          <w:color w:val="000000"/>
          <w:kern w:val="0"/>
          <w:sz w:val="48"/>
          <w:szCs w:val="48"/>
          <w:lang w:val="es-VE" w:eastAsia="es-ES_tradnl"/>
          <w14:ligatures w14:val="none"/>
        </w:rPr>
        <w:t> </w:t>
      </w:r>
    </w:p>
    <w:p w14:paraId="57E43C9D"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Mediante Oficio N° 358-22 de fecha 9 de junio de 2022, recibido en esta Sala Político-Administrativa el día 21 del mismo mes y año, el Tribunal Superior de lo Contencioso Tributario de la Región Los Andes, remitió copia certificada del cuaderno separado del expediente distinguido con el N° 3403, de su nomenclatura, contentivo del recurso de apelación ejercido el 14 de diciembre de 2021, por la abogada Sonia Inés Quintero de Sánchez (INPREABOGADO N° 235.094), actuando con el carácter de sustituta del Procurador General de la República, en representación del </w:t>
      </w:r>
      <w:r w:rsidRPr="00616C3F">
        <w:rPr>
          <w:rFonts w:ascii="Times New Roman" w:eastAsia="Times New Roman" w:hAnsi="Times New Roman" w:cs="Times New Roman"/>
          <w:b/>
          <w:bCs/>
          <w:color w:val="000000"/>
          <w:kern w:val="0"/>
          <w:lang w:val="es-VE" w:eastAsia="es-ES_tradnl"/>
          <w14:ligatures w14:val="none"/>
        </w:rPr>
        <w:t>FISCO NACIONAL</w:t>
      </w:r>
      <w:r w:rsidRPr="00616C3F">
        <w:rPr>
          <w:rFonts w:ascii="Times New Roman" w:eastAsia="Times New Roman" w:hAnsi="Times New Roman" w:cs="Times New Roman"/>
          <w:color w:val="000000"/>
          <w:kern w:val="0"/>
          <w:lang w:val="es-VE" w:eastAsia="es-ES_tradnl"/>
          <w14:ligatures w14:val="none"/>
        </w:rPr>
        <w:t>;</w:t>
      </w:r>
      <w:r w:rsidRPr="00616C3F">
        <w:rPr>
          <w:rFonts w:ascii="Times New Roman" w:eastAsia="Times New Roman" w:hAnsi="Times New Roman" w:cs="Times New Roman"/>
          <w:color w:val="000000"/>
          <w:kern w:val="0"/>
          <w:lang w:eastAsia="es-ES_tradnl"/>
          <w14:ligatures w14:val="none"/>
        </w:rPr>
        <w:t> contra la </w:t>
      </w:r>
      <w:r w:rsidRPr="00616C3F">
        <w:rPr>
          <w:rFonts w:ascii="Times New Roman" w:eastAsia="Times New Roman" w:hAnsi="Times New Roman" w:cs="Times New Roman"/>
          <w:b/>
          <w:bCs/>
          <w:color w:val="000000"/>
          <w:kern w:val="0"/>
          <w:lang w:eastAsia="es-ES_tradnl"/>
          <w14:ligatures w14:val="none"/>
        </w:rPr>
        <w:t>sentencia interlocutoria número 095-21 dictada por </w:t>
      </w:r>
      <w:r w:rsidRPr="00616C3F">
        <w:rPr>
          <w:rFonts w:ascii="Times New Roman" w:eastAsia="Times New Roman" w:hAnsi="Times New Roman" w:cs="Times New Roman"/>
          <w:b/>
          <w:bCs/>
          <w:color w:val="000000"/>
          <w:kern w:val="0"/>
          <w:lang w:val="es-VE" w:eastAsia="es-ES_tradnl"/>
          <w14:ligatures w14:val="none"/>
        </w:rPr>
        <w:t>el Juzgado remitente</w:t>
      </w:r>
      <w:r w:rsidRPr="00616C3F">
        <w:rPr>
          <w:rFonts w:ascii="Times New Roman" w:eastAsia="Times New Roman" w:hAnsi="Times New Roman" w:cs="Times New Roman"/>
          <w:b/>
          <w:bCs/>
          <w:color w:val="000000"/>
          <w:kern w:val="0"/>
          <w:lang w:eastAsia="es-ES_tradnl"/>
          <w14:ligatures w14:val="none"/>
        </w:rPr>
        <w:t> en fecha 9 de diciembre de 2021</w:t>
      </w:r>
      <w:r w:rsidRPr="00616C3F">
        <w:rPr>
          <w:rFonts w:ascii="Times New Roman" w:eastAsia="Times New Roman" w:hAnsi="Times New Roman" w:cs="Times New Roman"/>
          <w:color w:val="000000"/>
          <w:kern w:val="0"/>
          <w:lang w:eastAsia="es-ES_tradnl"/>
          <w14:ligatures w14:val="none"/>
        </w:rPr>
        <w:t>, </w:t>
      </w:r>
      <w:r w:rsidRPr="00616C3F">
        <w:rPr>
          <w:rFonts w:ascii="Times New Roman" w:eastAsia="Times New Roman" w:hAnsi="Times New Roman" w:cs="Times New Roman"/>
          <w:color w:val="000000"/>
          <w:kern w:val="0"/>
          <w:lang w:val="es-VE" w:eastAsia="es-ES_tradnl"/>
          <w14:ligatures w14:val="none"/>
        </w:rPr>
        <w:t>que declaró “(…)</w:t>
      </w:r>
      <w:r w:rsidRPr="00616C3F">
        <w:rPr>
          <w:rFonts w:ascii="Times New Roman" w:eastAsia="Times New Roman" w:hAnsi="Times New Roman" w:cs="Times New Roman"/>
          <w:b/>
          <w:bCs/>
          <w:i/>
          <w:iCs/>
          <w:color w:val="000000"/>
          <w:kern w:val="0"/>
          <w:lang w:val="es-VE" w:eastAsia="es-ES_tradnl"/>
          <w14:ligatures w14:val="none"/>
        </w:rPr>
        <w:t> LA SUSPENSIÓN DE LOS EFECTOS DEL ACTO </w:t>
      </w:r>
      <w:r w:rsidRPr="00616C3F">
        <w:rPr>
          <w:rFonts w:ascii="Times New Roman" w:eastAsia="Times New Roman" w:hAnsi="Times New Roman" w:cs="Times New Roman"/>
          <w:i/>
          <w:iCs/>
          <w:color w:val="000000"/>
          <w:kern w:val="0"/>
          <w:lang w:val="es-VE" w:eastAsia="es-ES_tradnl"/>
          <w14:ligatures w14:val="none"/>
        </w:rPr>
        <w:t>Resolución de Imposición de Sanción </w:t>
      </w:r>
      <w:r w:rsidRPr="00616C3F">
        <w:rPr>
          <w:rFonts w:ascii="Times New Roman" w:eastAsia="Times New Roman" w:hAnsi="Times New Roman" w:cs="Times New Roman"/>
          <w:b/>
          <w:bCs/>
          <w:i/>
          <w:iCs/>
          <w:color w:val="000000"/>
          <w:kern w:val="0"/>
          <w:lang w:val="es-VE" w:eastAsia="es-ES_tradnl"/>
          <w14:ligatures w14:val="none"/>
        </w:rPr>
        <w:t>SNAT/INTI/GRTI/RLA/SS/AF/2021/IVA/ISLR/ 00030/00041 de fecha 17 de febrero de 2021 </w:t>
      </w:r>
      <w:r w:rsidRPr="00616C3F">
        <w:rPr>
          <w:rFonts w:ascii="Times New Roman" w:eastAsia="Times New Roman" w:hAnsi="Times New Roman" w:cs="Times New Roman"/>
          <w:color w:val="000000"/>
          <w:kern w:val="0"/>
          <w:lang w:val="es-VE" w:eastAsia="es-ES_tradnl"/>
          <w14:ligatures w14:val="none"/>
        </w:rPr>
        <w:t>(…)”, solicitada con el recurso contencioso tributario incoado por la ciudadana Yaneth Hortua De Mora, titular de la cédula de identidad N° V- 13.061.991, actuando en su carácter de propietaria del fondo de comercio </w:t>
      </w:r>
      <w:r w:rsidRPr="00616C3F">
        <w:rPr>
          <w:rFonts w:ascii="Times New Roman" w:eastAsia="Times New Roman" w:hAnsi="Times New Roman" w:cs="Times New Roman"/>
          <w:b/>
          <w:bCs/>
          <w:color w:val="000000"/>
          <w:kern w:val="0"/>
          <w:lang w:val="es-VE" w:eastAsia="es-ES_tradnl"/>
          <w14:ligatures w14:val="none"/>
        </w:rPr>
        <w:t>DISTRIBUIDORA BAM BAM, F.P.</w:t>
      </w:r>
      <w:r w:rsidRPr="00616C3F">
        <w:rPr>
          <w:rFonts w:ascii="Times New Roman" w:eastAsia="Times New Roman" w:hAnsi="Times New Roman" w:cs="Times New Roman"/>
          <w:color w:val="000000"/>
          <w:kern w:val="0"/>
          <w:lang w:val="es-VE" w:eastAsia="es-ES_tradnl"/>
          <w14:ligatures w14:val="none"/>
        </w:rPr>
        <w:t>, inscrita en el Registro Mercantil Primero de la Circunscripción Judicial del Estado Barinas, en fecha 21 de julio del 2000, anotado bajo el N° 131, tomo 3-B, asistida por la abogada Rosa Elena Peña de Mendoza (INPREABOGADO N° 86.511). </w:t>
      </w:r>
    </w:p>
    <w:p w14:paraId="69F62C59"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El </w:t>
      </w:r>
      <w:r w:rsidRPr="00616C3F">
        <w:rPr>
          <w:rFonts w:ascii="Times New Roman" w:eastAsia="Times New Roman" w:hAnsi="Times New Roman" w:cs="Times New Roman"/>
          <w:color w:val="000000"/>
          <w:kern w:val="0"/>
          <w:lang w:val="es-VE" w:eastAsia="es-ES_tradnl"/>
          <w14:ligatures w14:val="none"/>
        </w:rPr>
        <w:t>referido medio de impugnación fue incoado el 2 de junio de 2021, contra la Resolución de Imposición de Sanción identificada con letras y números SNAT/INTI/GRTI/RLA/SS/AF/2021/IVA/ISLR-00030/00041 de fecha 17 de febrero de 2021, notificada el 5 de marzo del mismo año, suscrita por el Jefe de División de Fiscalización, de la Gerencia Regional de Tributos Internos Región Los Andes del </w:t>
      </w:r>
      <w:r w:rsidRPr="00616C3F">
        <w:rPr>
          <w:rFonts w:ascii="Times New Roman" w:eastAsia="Times New Roman" w:hAnsi="Times New Roman" w:cs="Times New Roman"/>
          <w:b/>
          <w:bCs/>
          <w:color w:val="000000"/>
          <w:kern w:val="0"/>
          <w:lang w:val="es-VE" w:eastAsia="es-ES_tradnl"/>
          <w14:ligatures w14:val="none"/>
        </w:rPr>
        <w:t>SERVICIO NACIONAL INTEGRADO DE ADMINISTRACIÓN ADUANERA Y TRIBUTARIA (SENIAT)</w:t>
      </w:r>
      <w:r w:rsidRPr="00616C3F">
        <w:rPr>
          <w:rFonts w:ascii="Times New Roman" w:eastAsia="Times New Roman" w:hAnsi="Times New Roman" w:cs="Times New Roman"/>
          <w:color w:val="000000"/>
          <w:kern w:val="0"/>
          <w:lang w:val="es-VE" w:eastAsia="es-ES_tradnl"/>
          <w14:ligatures w14:val="none"/>
        </w:rPr>
        <w:t>, levantada en el marco del procedimiento de verificación en el cual se determinaron sanciones de multa por el incumplimiento de deberes formales en materia de impuesto al valor agregado e impuesto sobre la renta, para el período impositivo desde el mes de noviembre, diciembre del año 2020 y el 27 enero del año 2021, tal y como se detalla en el siguiente cuadro: </w:t>
      </w:r>
    </w:p>
    <w:p w14:paraId="24103FF4" w14:textId="77777777" w:rsidR="00616C3F" w:rsidRPr="00616C3F" w:rsidRDefault="00616C3F" w:rsidP="00616C3F">
      <w:pPr>
        <w:spacing w:before="200" w:after="200"/>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 “(…) </w:t>
      </w:r>
    </w:p>
    <w:tbl>
      <w:tblPr>
        <w:tblW w:w="9072" w:type="dxa"/>
        <w:tblInd w:w="250" w:type="dxa"/>
        <w:tblCellMar>
          <w:top w:w="15" w:type="dxa"/>
          <w:left w:w="15" w:type="dxa"/>
          <w:bottom w:w="15" w:type="dxa"/>
          <w:right w:w="15" w:type="dxa"/>
        </w:tblCellMar>
        <w:tblLook w:val="04A0" w:firstRow="1" w:lastRow="0" w:firstColumn="1" w:lastColumn="0" w:noHBand="0" w:noVBand="1"/>
      </w:tblPr>
      <w:tblGrid>
        <w:gridCol w:w="2530"/>
        <w:gridCol w:w="1833"/>
        <w:gridCol w:w="716"/>
        <w:gridCol w:w="847"/>
        <w:gridCol w:w="1276"/>
        <w:gridCol w:w="890"/>
        <w:gridCol w:w="980"/>
      </w:tblGrid>
      <w:tr w:rsidR="00616C3F" w:rsidRPr="00616C3F" w14:paraId="10978699" w14:textId="77777777" w:rsidTr="00616C3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E724384"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lastRenderedPageBreak/>
              <w:t>Descripción Del Supuesto</w:t>
            </w:r>
            <w:r w:rsidRPr="00616C3F">
              <w:rPr>
                <w:rFonts w:ascii="Times New Roman" w:eastAsia="Times New Roman" w:hAnsi="Times New Roman" w:cs="Times New Roman"/>
                <w:kern w:val="0"/>
                <w:lang w:val="es-VE" w:eastAsia="es-ES_tradnl"/>
                <w14:ligatures w14:val="none"/>
              </w:rPr>
              <w:t> </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94EA8F"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Periodos/Ejercicios</w:t>
            </w:r>
            <w:r w:rsidRPr="00616C3F">
              <w:rPr>
                <w:rFonts w:ascii="Times New Roman" w:eastAsia="Times New Roman" w:hAnsi="Times New Roman" w:cs="Times New Roman"/>
                <w:kern w:val="0"/>
                <w:lang w:val="es-VE" w:eastAsia="es-ES_tradnl"/>
                <w14:ligatures w14:val="none"/>
              </w:rPr>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F72DFE"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Veces</w:t>
            </w:r>
            <w:r w:rsidRPr="00616C3F">
              <w:rPr>
                <w:rFonts w:ascii="Times New Roman" w:eastAsia="Times New Roman" w:hAnsi="Times New Roman" w:cs="Times New Roman"/>
                <w:kern w:val="0"/>
                <w:lang w:val="es-VE" w:eastAsia="es-ES_tradnl"/>
                <w14:ligatures w14:val="none"/>
              </w:rPr>
              <w:t> </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AC2C09"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total C.C.</w:t>
            </w:r>
            <w:r w:rsidRPr="00616C3F">
              <w:rPr>
                <w:rFonts w:ascii="Times New Roman" w:eastAsia="Times New Roman" w:hAnsi="Times New Roman" w:cs="Times New Roman"/>
                <w:kern w:val="0"/>
                <w:lang w:val="es-VE" w:eastAsia="es-ES_tradnl"/>
                <w14:ligatures w14:val="none"/>
              </w:rPr>
              <w:t>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222909"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Monto en Bs.</w:t>
            </w:r>
            <w:r w:rsidRPr="00616C3F">
              <w:rPr>
                <w:rFonts w:ascii="Times New Roman" w:eastAsia="Times New Roman" w:hAnsi="Times New Roman" w:cs="Times New Roman"/>
                <w:kern w:val="0"/>
                <w:lang w:val="es-VE" w:eastAsia="es-ES_tradnl"/>
                <w14:ligatures w14:val="none"/>
              </w:rPr>
              <w:t> </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8D4152"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Clausura</w:t>
            </w:r>
            <w:r w:rsidRPr="00616C3F">
              <w:rPr>
                <w:rFonts w:ascii="Times New Roman" w:eastAsia="Times New Roman" w:hAnsi="Times New Roman" w:cs="Times New Roman"/>
                <w:kern w:val="0"/>
                <w:lang w:val="es-VE" w:eastAsia="es-ES_tradnl"/>
                <w14:ligatures w14:val="none"/>
              </w:rPr>
              <w:t> </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0FB4CA"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Total C.C.</w:t>
            </w:r>
            <w:r w:rsidRPr="00616C3F">
              <w:rPr>
                <w:rFonts w:ascii="Times New Roman" w:eastAsia="Times New Roman" w:hAnsi="Times New Roman" w:cs="Times New Roman"/>
                <w:kern w:val="0"/>
                <w:lang w:val="es-VE" w:eastAsia="es-ES_tradnl"/>
                <w14:ligatures w14:val="none"/>
              </w:rPr>
              <w:t> </w:t>
            </w:r>
          </w:p>
        </w:tc>
      </w:tr>
      <w:tr w:rsidR="00616C3F" w:rsidRPr="00616C3F" w14:paraId="4AD930E7" w14:textId="77777777" w:rsidTr="00616C3F">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134D90"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LA (EL) CONTRIBUYENTE EMITE FACTURAS CON PRESCINDENCIA TOTAL O PARCIAL DE LOS REQUISITOS Y CARACTERÍSTICAS EXIGIDAS POR LAS NORMAS TRIBUTARIAS</w:t>
            </w:r>
            <w:r w:rsidRPr="00616C3F">
              <w:rPr>
                <w:rFonts w:ascii="Times New Roman" w:eastAsia="Times New Roman" w:hAnsi="Times New Roman" w:cs="Times New Roman"/>
                <w:kern w:val="0"/>
                <w:lang w:val="es-VE" w:eastAsia="es-ES_tradnl"/>
                <w14:ligatures w14:val="none"/>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9346B6"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1/11/2020 al 30/11/2020</w:t>
            </w:r>
            <w:r w:rsidRPr="00616C3F">
              <w:rPr>
                <w:rFonts w:ascii="Times New Roman" w:eastAsia="Times New Roman" w:hAnsi="Times New Roman" w:cs="Times New Roman"/>
                <w:kern w:val="0"/>
                <w:lang w:val="es-VE" w:eastAsia="es-ES_tradnl"/>
                <w14:ligatures w14:val="none"/>
              </w:rPr>
              <w:t> </w:t>
            </w:r>
          </w:p>
          <w:p w14:paraId="700C6CD6"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(Art. 101 COT)</w:t>
            </w:r>
            <w:r w:rsidRPr="00616C3F">
              <w:rPr>
                <w:rFonts w:ascii="Times New Roman" w:eastAsia="Times New Roman" w:hAnsi="Times New Roman" w:cs="Times New Roman"/>
                <w:kern w:val="0"/>
                <w:lang w:val="es-VE" w:eastAsia="es-ES_tradnl"/>
                <w14:ligatures w14:val="none"/>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B83AD7"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B60F90"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100,00</w:t>
            </w:r>
            <w:r w:rsidRPr="00616C3F">
              <w:rPr>
                <w:rFonts w:ascii="Times New Roman" w:eastAsia="Times New Roman" w:hAnsi="Times New Roman" w:cs="Times New Roman"/>
                <w:kern w:val="0"/>
                <w:lang w:val="es-VE" w:eastAsia="es-ES_tradnl"/>
                <w14:ligatures w14:val="none"/>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7FEFC4" w14:textId="77777777" w:rsidR="00616C3F" w:rsidRPr="00616C3F" w:rsidRDefault="00616C3F" w:rsidP="00616C3F">
            <w:pPr>
              <w:jc w:val="both"/>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217.531.300,00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1DED9F"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5 Días</w:t>
            </w:r>
            <w:r w:rsidRPr="00616C3F">
              <w:rPr>
                <w:rFonts w:ascii="Times New Roman" w:eastAsia="Times New Roman" w:hAnsi="Times New Roman" w:cs="Times New Roman"/>
                <w:kern w:val="0"/>
                <w:lang w:val="es-VE" w:eastAsia="es-ES_tradnl"/>
                <w14:ligatures w14:val="none"/>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31C82E"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5 Días</w:t>
            </w:r>
            <w:r w:rsidRPr="00616C3F">
              <w:rPr>
                <w:rFonts w:ascii="Times New Roman" w:eastAsia="Times New Roman" w:hAnsi="Times New Roman" w:cs="Times New Roman"/>
                <w:kern w:val="0"/>
                <w:lang w:val="es-VE" w:eastAsia="es-ES_tradnl"/>
                <w14:ligatures w14:val="none"/>
              </w:rPr>
              <w:t> </w:t>
            </w:r>
          </w:p>
        </w:tc>
      </w:tr>
      <w:tr w:rsidR="00616C3F" w:rsidRPr="00616C3F" w14:paraId="076ADD6F" w14:textId="77777777" w:rsidTr="00616C3F">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35DD7F"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LA (EL) CONTRIBUYENTE UTILIZA UNA MAQUINA FISCAL QUE NO POSEE UN DISPOSITIVO DE CAPTURA Y TRANSMISIÓN DE DATOS QUE CUMPLA LAS ESPECIFICACIONES QUE AL EFECTO ESTABLEZCA EL SERVICIO NACIONAL INTEGRADO DE ADMINISTRACIÓN ADUANERA Y TRIBUTARIA (SENIAT)</w:t>
            </w:r>
            <w:r w:rsidRPr="00616C3F">
              <w:rPr>
                <w:rFonts w:ascii="Times New Roman" w:eastAsia="Times New Roman" w:hAnsi="Times New Roman" w:cs="Times New Roman"/>
                <w:kern w:val="0"/>
                <w:lang w:val="es-VE" w:eastAsia="es-ES_tradnl"/>
                <w14:ligatures w14:val="none"/>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7F17DE"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27/1/2021</w:t>
            </w:r>
            <w:r w:rsidRPr="00616C3F">
              <w:rPr>
                <w:rFonts w:ascii="Times New Roman" w:eastAsia="Times New Roman" w:hAnsi="Times New Roman" w:cs="Times New Roman"/>
                <w:kern w:val="0"/>
                <w:lang w:val="es-VE" w:eastAsia="es-ES_tradnl"/>
                <w14:ligatures w14:val="none"/>
              </w:rPr>
              <w:t> </w:t>
            </w:r>
          </w:p>
          <w:p w14:paraId="10C38B79"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(Art. 101 COT)</w:t>
            </w:r>
            <w:r w:rsidRPr="00616C3F">
              <w:rPr>
                <w:rFonts w:ascii="Times New Roman" w:eastAsia="Times New Roman" w:hAnsi="Times New Roman" w:cs="Times New Roman"/>
                <w:kern w:val="0"/>
                <w:lang w:val="es-VE" w:eastAsia="es-ES_tradnl"/>
                <w14:ligatures w14:val="none"/>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CA631F"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150,00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95EA6"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150,00</w:t>
            </w:r>
            <w:r w:rsidRPr="00616C3F">
              <w:rPr>
                <w:rFonts w:ascii="Times New Roman" w:eastAsia="Times New Roman" w:hAnsi="Times New Roman" w:cs="Times New Roman"/>
                <w:kern w:val="0"/>
                <w:lang w:val="es-VE" w:eastAsia="es-ES_tradnl"/>
                <w14:ligatures w14:val="none"/>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C0DD98"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325.296.950,00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020182"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 Días</w:t>
            </w:r>
            <w:r w:rsidRPr="00616C3F">
              <w:rPr>
                <w:rFonts w:ascii="Times New Roman" w:eastAsia="Times New Roman" w:hAnsi="Times New Roman" w:cs="Times New Roman"/>
                <w:kern w:val="0"/>
                <w:lang w:val="es-VE" w:eastAsia="es-ES_tradnl"/>
                <w14:ligatures w14:val="none"/>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00CAA5"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 Días</w:t>
            </w:r>
            <w:r w:rsidRPr="00616C3F">
              <w:rPr>
                <w:rFonts w:ascii="Times New Roman" w:eastAsia="Times New Roman" w:hAnsi="Times New Roman" w:cs="Times New Roman"/>
                <w:kern w:val="0"/>
                <w:lang w:val="es-VE" w:eastAsia="es-ES_tradnl"/>
                <w14:ligatures w14:val="none"/>
              </w:rPr>
              <w:t> </w:t>
            </w:r>
          </w:p>
        </w:tc>
      </w:tr>
      <w:tr w:rsidR="00616C3F" w:rsidRPr="00616C3F" w14:paraId="36D480D3" w14:textId="77777777" w:rsidTr="00616C3F">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BD955C"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EL SUJETO PASIVO LLEVA EL LIBRO DE VENTA DEL IVA SIN CUMPLIR CON LAS FORMALIDADES ESTABLECIDAS EN LAS NORMAS CORRESPONDIENTES</w:t>
            </w:r>
            <w:r w:rsidRPr="00616C3F">
              <w:rPr>
                <w:rFonts w:ascii="Times New Roman" w:eastAsia="Times New Roman" w:hAnsi="Times New Roman" w:cs="Times New Roman"/>
                <w:kern w:val="0"/>
                <w:lang w:val="es-VE" w:eastAsia="es-ES_tradnl"/>
                <w14:ligatures w14:val="none"/>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17C070"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1/12/2020 al 30/12/2020</w:t>
            </w:r>
            <w:r w:rsidRPr="00616C3F">
              <w:rPr>
                <w:rFonts w:ascii="Times New Roman" w:eastAsia="Times New Roman" w:hAnsi="Times New Roman" w:cs="Times New Roman"/>
                <w:kern w:val="0"/>
                <w:lang w:val="es-VE" w:eastAsia="es-ES_tradnl"/>
                <w14:ligatures w14:val="none"/>
              </w:rPr>
              <w:t> </w:t>
            </w:r>
          </w:p>
          <w:p w14:paraId="4F3E769B"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(Art. 102 COT)</w:t>
            </w:r>
            <w:r w:rsidRPr="00616C3F">
              <w:rPr>
                <w:rFonts w:ascii="Times New Roman" w:eastAsia="Times New Roman" w:hAnsi="Times New Roman" w:cs="Times New Roman"/>
                <w:kern w:val="0"/>
                <w:lang w:val="es-VE" w:eastAsia="es-ES_tradnl"/>
                <w14:ligatures w14:val="none"/>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59040F"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FD6E92"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50,00</w:t>
            </w:r>
            <w:r w:rsidRPr="00616C3F">
              <w:rPr>
                <w:rFonts w:ascii="Times New Roman" w:eastAsia="Times New Roman" w:hAnsi="Times New Roman" w:cs="Times New Roman"/>
                <w:kern w:val="0"/>
                <w:lang w:val="es-VE" w:eastAsia="es-ES_tradnl"/>
                <w14:ligatures w14:val="none"/>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879695"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105.765.650,00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A886CE"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5 Días</w:t>
            </w:r>
            <w:r w:rsidRPr="00616C3F">
              <w:rPr>
                <w:rFonts w:ascii="Times New Roman" w:eastAsia="Times New Roman" w:hAnsi="Times New Roman" w:cs="Times New Roman"/>
                <w:kern w:val="0"/>
                <w:lang w:val="es-VE" w:eastAsia="es-ES_tradnl"/>
                <w14:ligatures w14:val="none"/>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485AEA"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5 Días</w:t>
            </w:r>
            <w:r w:rsidRPr="00616C3F">
              <w:rPr>
                <w:rFonts w:ascii="Times New Roman" w:eastAsia="Times New Roman" w:hAnsi="Times New Roman" w:cs="Times New Roman"/>
                <w:kern w:val="0"/>
                <w:lang w:val="es-VE" w:eastAsia="es-ES_tradnl"/>
                <w14:ligatures w14:val="none"/>
              </w:rPr>
              <w:t> </w:t>
            </w:r>
          </w:p>
        </w:tc>
      </w:tr>
      <w:tr w:rsidR="00616C3F" w:rsidRPr="00616C3F" w14:paraId="61E567F7" w14:textId="77777777" w:rsidTr="00616C3F">
        <w:tc>
          <w:tcPr>
            <w:tcW w:w="510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5EF2E0"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Total Multa y Total de días de Clausura</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83526"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300,00</w:t>
            </w:r>
            <w:r w:rsidRPr="00616C3F">
              <w:rPr>
                <w:rFonts w:ascii="Times New Roman" w:eastAsia="Times New Roman" w:hAnsi="Times New Roman" w:cs="Times New Roman"/>
                <w:kern w:val="0"/>
                <w:lang w:val="es-VE" w:eastAsia="es-ES_tradnl"/>
                <w14:ligatures w14:val="none"/>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3BA801"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652.693.960,00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A906DC"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 </w:t>
            </w:r>
            <w:r w:rsidRPr="00616C3F">
              <w:rPr>
                <w:rFonts w:ascii="Times New Roman" w:eastAsia="Times New Roman" w:hAnsi="Times New Roman" w:cs="Times New Roman"/>
                <w:kern w:val="0"/>
                <w:lang w:val="es-VE" w:eastAsia="es-ES_tradnl"/>
                <w14:ligatures w14:val="none"/>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78DDE5"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17,5 Días</w:t>
            </w:r>
            <w:r w:rsidRPr="00616C3F">
              <w:rPr>
                <w:rFonts w:ascii="Times New Roman" w:eastAsia="Times New Roman" w:hAnsi="Times New Roman" w:cs="Times New Roman"/>
                <w:kern w:val="0"/>
                <w:lang w:val="es-VE" w:eastAsia="es-ES_tradnl"/>
                <w14:ligatures w14:val="none"/>
              </w:rPr>
              <w:t> </w:t>
            </w:r>
          </w:p>
        </w:tc>
      </w:tr>
    </w:tbl>
    <w:p w14:paraId="38D25D66" w14:textId="77777777" w:rsidR="00616C3F" w:rsidRPr="00616C3F" w:rsidRDefault="00616C3F" w:rsidP="00616C3F">
      <w:pPr>
        <w:spacing w:before="200" w:after="200"/>
        <w:jc w:val="right"/>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 </w:t>
      </w:r>
    </w:p>
    <w:p w14:paraId="7955F6C1"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El 24 de febrero de 2022, el prenombrado Juzgado oyó en un solo efecto la apelación interpuesta el 14 de diciembre de 2021, y ordenó la remisión de las copias certificadas del mencionado cuaderno separado de acción de amparo cautelar a esta Alzada. </w:t>
      </w:r>
    </w:p>
    <w:p w14:paraId="71E84F1C"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En fecha 29 de junio de 2022, </w:t>
      </w:r>
      <w:r w:rsidRPr="00616C3F">
        <w:rPr>
          <w:rFonts w:ascii="Times New Roman" w:eastAsia="Times New Roman" w:hAnsi="Times New Roman" w:cs="Times New Roman"/>
          <w:color w:val="000000"/>
          <w:kern w:val="0"/>
          <w:lang w:eastAsia="es-ES_tradnl"/>
          <w14:ligatures w14:val="none"/>
        </w:rPr>
        <w:t>se dio cuenta en Sala y, en la misma oportunidad, </w:t>
      </w:r>
      <w:r w:rsidRPr="00616C3F">
        <w:rPr>
          <w:rFonts w:ascii="Times New Roman" w:eastAsia="Times New Roman" w:hAnsi="Times New Roman" w:cs="Times New Roman"/>
          <w:color w:val="000000"/>
          <w:kern w:val="0"/>
          <w:lang w:val="es-VE" w:eastAsia="es-ES_tradnl"/>
          <w14:ligatures w14:val="none"/>
        </w:rPr>
        <w:t>la </w:t>
      </w:r>
      <w:r w:rsidRPr="00616C3F">
        <w:rPr>
          <w:rFonts w:ascii="Times New Roman" w:eastAsia="Times New Roman" w:hAnsi="Times New Roman" w:cs="Times New Roman"/>
          <w:color w:val="000000"/>
          <w:kern w:val="0"/>
          <w:lang w:eastAsia="es-ES_tradnl"/>
          <w14:ligatures w14:val="none"/>
        </w:rPr>
        <w:t>Magistrada Bárbara Gabriela Cesar Siero</w:t>
      </w:r>
      <w:r w:rsidRPr="00616C3F">
        <w:rPr>
          <w:rFonts w:ascii="Times New Roman" w:eastAsia="Times New Roman" w:hAnsi="Times New Roman" w:cs="Times New Roman"/>
          <w:color w:val="000000"/>
          <w:kern w:val="0"/>
          <w:lang w:val="es-VE" w:eastAsia="es-ES_tradnl"/>
          <w14:ligatures w14:val="none"/>
        </w:rPr>
        <w:t> fue designada </w:t>
      </w:r>
      <w:r w:rsidRPr="00616C3F">
        <w:rPr>
          <w:rFonts w:ascii="Times New Roman" w:eastAsia="Times New Roman" w:hAnsi="Times New Roman" w:cs="Times New Roman"/>
          <w:color w:val="000000"/>
          <w:kern w:val="0"/>
          <w:lang w:eastAsia="es-ES_tradnl"/>
          <w14:ligatures w14:val="none"/>
        </w:rPr>
        <w:t>Ponente</w:t>
      </w:r>
      <w:r w:rsidRPr="00616C3F">
        <w:rPr>
          <w:rFonts w:ascii="Times New Roman" w:eastAsia="Times New Roman" w:hAnsi="Times New Roman" w:cs="Times New Roman"/>
          <w:color w:val="000000"/>
          <w:kern w:val="0"/>
          <w:lang w:val="es-VE" w:eastAsia="es-ES_tradnl"/>
          <w14:ligatures w14:val="none"/>
        </w:rPr>
        <w:t>. </w:t>
      </w:r>
    </w:p>
    <w:p w14:paraId="782FCEE5"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UY" w:eastAsia="es-ES_tradnl"/>
          <w14:ligatures w14:val="none"/>
        </w:rPr>
        <w:t>En fecha 27 de julio de 2022, el abogado FELIPE ELÍAS MERCADO PUERTA (</w:t>
      </w:r>
      <w:r w:rsidRPr="00616C3F">
        <w:rPr>
          <w:rFonts w:ascii="Times New Roman" w:eastAsia="Times New Roman" w:hAnsi="Times New Roman" w:cs="Times New Roman"/>
          <w:color w:val="000000"/>
          <w:kern w:val="0"/>
          <w:lang w:val="es-VE" w:eastAsia="es-ES_tradnl"/>
          <w14:ligatures w14:val="none"/>
        </w:rPr>
        <w:t>INPREABOGADO</w:t>
      </w:r>
      <w:r w:rsidRPr="00616C3F">
        <w:rPr>
          <w:rFonts w:ascii="Times New Roman" w:eastAsia="Times New Roman" w:hAnsi="Times New Roman" w:cs="Times New Roman"/>
          <w:color w:val="000000"/>
          <w:kern w:val="0"/>
          <w:lang w:val="es-UY" w:eastAsia="es-ES_tradnl"/>
          <w14:ligatures w14:val="none"/>
        </w:rPr>
        <w:t> N° 233.069), en representación del Fisco Nacional, según se desprende del instrumento poder cursante a los folios 75 y 76 del expediente judicial, presentó escrito de fundamentación de la apelación ejercida. No hubo Contestación.</w:t>
      </w:r>
      <w:r w:rsidRPr="00616C3F">
        <w:rPr>
          <w:rFonts w:ascii="Times New Roman" w:eastAsia="Times New Roman" w:hAnsi="Times New Roman" w:cs="Times New Roman"/>
          <w:color w:val="000000"/>
          <w:kern w:val="0"/>
          <w:lang w:val="es-VE" w:eastAsia="es-ES_tradnl"/>
          <w14:ligatures w14:val="none"/>
        </w:rPr>
        <w:t> </w:t>
      </w:r>
    </w:p>
    <w:p w14:paraId="5D210C6B" w14:textId="77777777" w:rsidR="00616C3F" w:rsidRPr="00616C3F" w:rsidRDefault="00616C3F" w:rsidP="00616C3F">
      <w:pPr>
        <w:spacing w:before="24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lastRenderedPageBreak/>
        <w:t>En fecha 20 de septiembre de 2022, la causa entró en estado de sentencia, a tenor de lo dispuesto en el artículo 93 de la Ley Orgánica de la Jurisdicción Contencioso Administrativa. </w:t>
      </w:r>
    </w:p>
    <w:p w14:paraId="57E64DFF"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eastAsia="es-ES_tradnl"/>
          <w14:ligatures w14:val="none"/>
        </w:rPr>
        <w:t>Realizado el estudio de las actas que conforman el expediente, pasa este Alto Tribunal a decidir con fundamento en los artículos 26, 253 y 257 de la Constitución de la República Bolivariana de Venezuela</w:t>
      </w:r>
      <w:r w:rsidRPr="00616C3F">
        <w:rPr>
          <w:rFonts w:ascii="Times New Roman" w:eastAsia="Times New Roman" w:hAnsi="Times New Roman" w:cs="Times New Roman"/>
          <w:color w:val="000000"/>
          <w:kern w:val="0"/>
          <w:lang w:val="es-VE" w:eastAsia="es-ES_tradnl"/>
          <w14:ligatures w14:val="none"/>
        </w:rPr>
        <w:t>. </w:t>
      </w:r>
    </w:p>
    <w:p w14:paraId="394B0368"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0DCE8979"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477C8E85"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I</w:t>
      </w:r>
      <w:r w:rsidRPr="00616C3F">
        <w:rPr>
          <w:rFonts w:ascii="Times New Roman" w:eastAsia="Times New Roman" w:hAnsi="Times New Roman" w:cs="Times New Roman"/>
          <w:color w:val="000000"/>
          <w:kern w:val="0"/>
          <w:lang w:val="es-VE" w:eastAsia="es-ES_tradnl"/>
          <w14:ligatures w14:val="none"/>
        </w:rPr>
        <w:t> </w:t>
      </w:r>
    </w:p>
    <w:p w14:paraId="10745A90"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ANTECEDENTES</w:t>
      </w:r>
      <w:r w:rsidRPr="00616C3F">
        <w:rPr>
          <w:rFonts w:ascii="Times New Roman" w:eastAsia="Times New Roman" w:hAnsi="Times New Roman" w:cs="Times New Roman"/>
          <w:color w:val="000000"/>
          <w:kern w:val="0"/>
          <w:lang w:val="es-VE" w:eastAsia="es-ES_tradnl"/>
          <w14:ligatures w14:val="none"/>
        </w:rPr>
        <w:t> </w:t>
      </w:r>
    </w:p>
    <w:p w14:paraId="5AC2FC69"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055A2788"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6EAB48A5" w14:textId="77777777" w:rsidR="00616C3F" w:rsidRPr="00616C3F" w:rsidRDefault="00616C3F" w:rsidP="00616C3F">
      <w:pPr>
        <w:spacing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De las actas procesales se desprende lo siguiente: </w:t>
      </w:r>
    </w:p>
    <w:p w14:paraId="3C0EE3A5"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Mediante Resolución de Imposición de Sanción signada con letras y números SNAT/INTI/GRTI/RLA/SS/AF/2021/IVA/ISLR-00030/00041 de fecha 17 de febrero de 2021, notificada el 5 de marzo de 2021, suscrita por el Jefe de División de Fiscalización, de la Gerencia Regional de Tributos Internos Región Los Andes del Servicio Nacional Integrado de Administración Aduanera y Tributaria (SENIAT), se procedió a emitir la referida resolución, por cuanto se constató en el momento de la realización del procedimiento de verificación incumplimientos de deberes formales, los cuales se establecieron en el acta de verificación levantada por el funcionario Dilthey Ernesto Caceres Cárdenas, titular de la cédula de identidad                        V-14.784.208, debidamente facultado según Providencia Administrativa N° 00030 de fecha 26 de enero de 2021, dejando constancia de los incumplimientos detectados, a cargo de la contribuyente de autos, que se indican a continuación: </w:t>
      </w:r>
    </w:p>
    <w:p w14:paraId="223FF49B" w14:textId="77777777" w:rsidR="00616C3F" w:rsidRPr="00616C3F" w:rsidRDefault="00616C3F" w:rsidP="00616C3F">
      <w:pPr>
        <w:shd w:val="clear" w:color="auto" w:fill="FFFFFF"/>
        <w:spacing w:before="240" w:after="24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 </w:t>
      </w:r>
    </w:p>
    <w:tbl>
      <w:tblPr>
        <w:tblW w:w="9072" w:type="dxa"/>
        <w:tblInd w:w="250" w:type="dxa"/>
        <w:tblCellMar>
          <w:top w:w="15" w:type="dxa"/>
          <w:left w:w="15" w:type="dxa"/>
          <w:bottom w:w="15" w:type="dxa"/>
          <w:right w:w="15" w:type="dxa"/>
        </w:tblCellMar>
        <w:tblLook w:val="04A0" w:firstRow="1" w:lastRow="0" w:firstColumn="1" w:lastColumn="0" w:noHBand="0" w:noVBand="1"/>
      </w:tblPr>
      <w:tblGrid>
        <w:gridCol w:w="2530"/>
        <w:gridCol w:w="1833"/>
        <w:gridCol w:w="716"/>
        <w:gridCol w:w="847"/>
        <w:gridCol w:w="1276"/>
        <w:gridCol w:w="890"/>
        <w:gridCol w:w="980"/>
      </w:tblGrid>
      <w:tr w:rsidR="00616C3F" w:rsidRPr="00616C3F" w14:paraId="50D4F6A3" w14:textId="77777777" w:rsidTr="00616C3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A97929D"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Descripción Del Supuesto</w:t>
            </w:r>
            <w:r w:rsidRPr="00616C3F">
              <w:rPr>
                <w:rFonts w:ascii="Times New Roman" w:eastAsia="Times New Roman" w:hAnsi="Times New Roman" w:cs="Times New Roman"/>
                <w:kern w:val="0"/>
                <w:lang w:val="es-VE" w:eastAsia="es-ES_tradnl"/>
                <w14:ligatures w14:val="none"/>
              </w:rPr>
              <w:t> </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E03C44"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Periodos/Ejercicios</w:t>
            </w:r>
            <w:r w:rsidRPr="00616C3F">
              <w:rPr>
                <w:rFonts w:ascii="Times New Roman" w:eastAsia="Times New Roman" w:hAnsi="Times New Roman" w:cs="Times New Roman"/>
                <w:kern w:val="0"/>
                <w:lang w:val="es-VE" w:eastAsia="es-ES_tradnl"/>
                <w14:ligatures w14:val="none"/>
              </w:rPr>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74F57C"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Veces</w:t>
            </w:r>
            <w:r w:rsidRPr="00616C3F">
              <w:rPr>
                <w:rFonts w:ascii="Times New Roman" w:eastAsia="Times New Roman" w:hAnsi="Times New Roman" w:cs="Times New Roman"/>
                <w:kern w:val="0"/>
                <w:lang w:val="es-VE" w:eastAsia="es-ES_tradnl"/>
                <w14:ligatures w14:val="none"/>
              </w:rPr>
              <w:t> </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FA8EC2"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total C.C.</w:t>
            </w:r>
            <w:r w:rsidRPr="00616C3F">
              <w:rPr>
                <w:rFonts w:ascii="Times New Roman" w:eastAsia="Times New Roman" w:hAnsi="Times New Roman" w:cs="Times New Roman"/>
                <w:kern w:val="0"/>
                <w:lang w:val="es-VE" w:eastAsia="es-ES_tradnl"/>
                <w14:ligatures w14:val="none"/>
              </w:rPr>
              <w:t>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4373EF"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Monto en Bs.</w:t>
            </w:r>
            <w:r w:rsidRPr="00616C3F">
              <w:rPr>
                <w:rFonts w:ascii="Times New Roman" w:eastAsia="Times New Roman" w:hAnsi="Times New Roman" w:cs="Times New Roman"/>
                <w:kern w:val="0"/>
                <w:lang w:val="es-VE" w:eastAsia="es-ES_tradnl"/>
                <w14:ligatures w14:val="none"/>
              </w:rPr>
              <w:t> </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C347EE"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Clausura</w:t>
            </w:r>
            <w:r w:rsidRPr="00616C3F">
              <w:rPr>
                <w:rFonts w:ascii="Times New Roman" w:eastAsia="Times New Roman" w:hAnsi="Times New Roman" w:cs="Times New Roman"/>
                <w:kern w:val="0"/>
                <w:lang w:val="es-VE" w:eastAsia="es-ES_tradnl"/>
                <w14:ligatures w14:val="none"/>
              </w:rPr>
              <w:t> </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AB4076"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Total C.C.</w:t>
            </w:r>
            <w:r w:rsidRPr="00616C3F">
              <w:rPr>
                <w:rFonts w:ascii="Times New Roman" w:eastAsia="Times New Roman" w:hAnsi="Times New Roman" w:cs="Times New Roman"/>
                <w:kern w:val="0"/>
                <w:lang w:val="es-VE" w:eastAsia="es-ES_tradnl"/>
                <w14:ligatures w14:val="none"/>
              </w:rPr>
              <w:t> </w:t>
            </w:r>
          </w:p>
        </w:tc>
      </w:tr>
      <w:tr w:rsidR="00616C3F" w:rsidRPr="00616C3F" w14:paraId="0D7868EB" w14:textId="77777777" w:rsidTr="00616C3F">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06AA27"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LA (EL) CONTRIBUYENTE EMITE FACTURAS CON PRESCINDENCIA TOTAL O PARCIAL DE LOS REQUISITOS Y CARACTERÍSTICAS EXIGIDAS POR LAS NORMAS TRIBUTARIAS</w:t>
            </w:r>
            <w:r w:rsidRPr="00616C3F">
              <w:rPr>
                <w:rFonts w:ascii="Times New Roman" w:eastAsia="Times New Roman" w:hAnsi="Times New Roman" w:cs="Times New Roman"/>
                <w:kern w:val="0"/>
                <w:lang w:val="es-VE" w:eastAsia="es-ES_tradnl"/>
                <w14:ligatures w14:val="none"/>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BA52F7"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1/11/2020 al 30/11/2020</w:t>
            </w:r>
            <w:r w:rsidRPr="00616C3F">
              <w:rPr>
                <w:rFonts w:ascii="Times New Roman" w:eastAsia="Times New Roman" w:hAnsi="Times New Roman" w:cs="Times New Roman"/>
                <w:kern w:val="0"/>
                <w:lang w:val="es-VE" w:eastAsia="es-ES_tradnl"/>
                <w14:ligatures w14:val="none"/>
              </w:rPr>
              <w:t> </w:t>
            </w:r>
          </w:p>
          <w:p w14:paraId="760D9B6E"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(Art. 101 COT)</w:t>
            </w:r>
            <w:r w:rsidRPr="00616C3F">
              <w:rPr>
                <w:rFonts w:ascii="Times New Roman" w:eastAsia="Times New Roman" w:hAnsi="Times New Roman" w:cs="Times New Roman"/>
                <w:kern w:val="0"/>
                <w:lang w:val="es-VE" w:eastAsia="es-ES_tradnl"/>
                <w14:ligatures w14:val="none"/>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10B2AA"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A2E638"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100,00</w:t>
            </w:r>
            <w:r w:rsidRPr="00616C3F">
              <w:rPr>
                <w:rFonts w:ascii="Times New Roman" w:eastAsia="Times New Roman" w:hAnsi="Times New Roman" w:cs="Times New Roman"/>
                <w:kern w:val="0"/>
                <w:lang w:val="es-VE" w:eastAsia="es-ES_tradnl"/>
                <w14:ligatures w14:val="none"/>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66D09B" w14:textId="77777777" w:rsidR="00616C3F" w:rsidRPr="00616C3F" w:rsidRDefault="00616C3F" w:rsidP="00616C3F">
            <w:pPr>
              <w:jc w:val="both"/>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217.531.300,00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5DA81F"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5 Días</w:t>
            </w:r>
            <w:r w:rsidRPr="00616C3F">
              <w:rPr>
                <w:rFonts w:ascii="Times New Roman" w:eastAsia="Times New Roman" w:hAnsi="Times New Roman" w:cs="Times New Roman"/>
                <w:kern w:val="0"/>
                <w:lang w:val="es-VE" w:eastAsia="es-ES_tradnl"/>
                <w14:ligatures w14:val="none"/>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7709F"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5 Días</w:t>
            </w:r>
            <w:r w:rsidRPr="00616C3F">
              <w:rPr>
                <w:rFonts w:ascii="Times New Roman" w:eastAsia="Times New Roman" w:hAnsi="Times New Roman" w:cs="Times New Roman"/>
                <w:kern w:val="0"/>
                <w:lang w:val="es-VE" w:eastAsia="es-ES_tradnl"/>
                <w14:ligatures w14:val="none"/>
              </w:rPr>
              <w:t> </w:t>
            </w:r>
          </w:p>
        </w:tc>
      </w:tr>
      <w:tr w:rsidR="00616C3F" w:rsidRPr="00616C3F" w14:paraId="633B14A8" w14:textId="77777777" w:rsidTr="00616C3F">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5DBB16"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 xml:space="preserve">LA (EL) CONTRIBUYENTE UTILIZA UNA MAQUINA FISCAL </w:t>
            </w:r>
            <w:r w:rsidRPr="00616C3F">
              <w:rPr>
                <w:rFonts w:ascii="Times New Roman" w:eastAsia="Times New Roman" w:hAnsi="Times New Roman" w:cs="Times New Roman"/>
                <w:i/>
                <w:iCs/>
                <w:kern w:val="0"/>
                <w:vertAlign w:val="subscript"/>
                <w:lang w:val="es-VE" w:eastAsia="es-ES_tradnl"/>
                <w14:ligatures w14:val="none"/>
              </w:rPr>
              <w:lastRenderedPageBreak/>
              <w:t>QUE NO POSEE UN DISPOSITIVO DE CAPTURA Y TRANSMISIÓN DE DATOS QUE CUMPLA LAS ESPECIFICACIONES QUE AL EFECTO ESTABLEZCA EL SERVICIO NACIONAL INTEGRADO DE ADMINISTRACIÓN ADUANERA Y TRIBUTARIA (SENIAT)</w:t>
            </w:r>
            <w:r w:rsidRPr="00616C3F">
              <w:rPr>
                <w:rFonts w:ascii="Times New Roman" w:eastAsia="Times New Roman" w:hAnsi="Times New Roman" w:cs="Times New Roman"/>
                <w:kern w:val="0"/>
                <w:lang w:val="es-VE" w:eastAsia="es-ES_tradnl"/>
                <w14:ligatures w14:val="none"/>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DF3248"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lastRenderedPageBreak/>
              <w:t>27/1/2021</w:t>
            </w:r>
            <w:r w:rsidRPr="00616C3F">
              <w:rPr>
                <w:rFonts w:ascii="Times New Roman" w:eastAsia="Times New Roman" w:hAnsi="Times New Roman" w:cs="Times New Roman"/>
                <w:kern w:val="0"/>
                <w:lang w:val="es-VE" w:eastAsia="es-ES_tradnl"/>
                <w14:ligatures w14:val="none"/>
              </w:rPr>
              <w:t> </w:t>
            </w:r>
          </w:p>
          <w:p w14:paraId="7298AE39"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(Art. 101 COT)</w:t>
            </w:r>
            <w:r w:rsidRPr="00616C3F">
              <w:rPr>
                <w:rFonts w:ascii="Times New Roman" w:eastAsia="Times New Roman" w:hAnsi="Times New Roman" w:cs="Times New Roman"/>
                <w:kern w:val="0"/>
                <w:lang w:val="es-VE" w:eastAsia="es-ES_tradnl"/>
                <w14:ligatures w14:val="none"/>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60B824"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150,00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852B73"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150,00</w:t>
            </w:r>
            <w:r w:rsidRPr="00616C3F">
              <w:rPr>
                <w:rFonts w:ascii="Times New Roman" w:eastAsia="Times New Roman" w:hAnsi="Times New Roman" w:cs="Times New Roman"/>
                <w:kern w:val="0"/>
                <w:lang w:val="es-VE" w:eastAsia="es-ES_tradnl"/>
                <w14:ligatures w14:val="none"/>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E0A39C"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325.296.950,00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F1606D"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 Días</w:t>
            </w:r>
            <w:r w:rsidRPr="00616C3F">
              <w:rPr>
                <w:rFonts w:ascii="Times New Roman" w:eastAsia="Times New Roman" w:hAnsi="Times New Roman" w:cs="Times New Roman"/>
                <w:kern w:val="0"/>
                <w:lang w:val="es-VE" w:eastAsia="es-ES_tradnl"/>
                <w14:ligatures w14:val="none"/>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0D1DC0"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 Días</w:t>
            </w:r>
            <w:r w:rsidRPr="00616C3F">
              <w:rPr>
                <w:rFonts w:ascii="Times New Roman" w:eastAsia="Times New Roman" w:hAnsi="Times New Roman" w:cs="Times New Roman"/>
                <w:kern w:val="0"/>
                <w:lang w:val="es-VE" w:eastAsia="es-ES_tradnl"/>
                <w14:ligatures w14:val="none"/>
              </w:rPr>
              <w:t> </w:t>
            </w:r>
          </w:p>
        </w:tc>
      </w:tr>
      <w:tr w:rsidR="00616C3F" w:rsidRPr="00616C3F" w14:paraId="498CF7F9" w14:textId="77777777" w:rsidTr="00616C3F">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945CED"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EL SUJETO PASIVO LLEVA EL LIBRO DE VENTA DEL IVA SIN CUMPLIR CON LAS FORMALIDADES ESTABLECIDAS EN LAS NORMAS CORRESPONDIENTES</w:t>
            </w:r>
            <w:r w:rsidRPr="00616C3F">
              <w:rPr>
                <w:rFonts w:ascii="Times New Roman" w:eastAsia="Times New Roman" w:hAnsi="Times New Roman" w:cs="Times New Roman"/>
                <w:kern w:val="0"/>
                <w:lang w:val="es-VE" w:eastAsia="es-ES_tradnl"/>
                <w14:ligatures w14:val="none"/>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BDDF85"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1/12/2020 al 30/12/2020</w:t>
            </w:r>
            <w:r w:rsidRPr="00616C3F">
              <w:rPr>
                <w:rFonts w:ascii="Times New Roman" w:eastAsia="Times New Roman" w:hAnsi="Times New Roman" w:cs="Times New Roman"/>
                <w:kern w:val="0"/>
                <w:lang w:val="es-VE" w:eastAsia="es-ES_tradnl"/>
                <w14:ligatures w14:val="none"/>
              </w:rPr>
              <w:t> </w:t>
            </w:r>
          </w:p>
          <w:p w14:paraId="1934A8B1"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(Art. 102 COT)</w:t>
            </w:r>
            <w:r w:rsidRPr="00616C3F">
              <w:rPr>
                <w:rFonts w:ascii="Times New Roman" w:eastAsia="Times New Roman" w:hAnsi="Times New Roman" w:cs="Times New Roman"/>
                <w:kern w:val="0"/>
                <w:lang w:val="es-VE" w:eastAsia="es-ES_tradnl"/>
                <w14:ligatures w14:val="none"/>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384AB2"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965193"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50,00</w:t>
            </w:r>
            <w:r w:rsidRPr="00616C3F">
              <w:rPr>
                <w:rFonts w:ascii="Times New Roman" w:eastAsia="Times New Roman" w:hAnsi="Times New Roman" w:cs="Times New Roman"/>
                <w:kern w:val="0"/>
                <w:lang w:val="es-VE" w:eastAsia="es-ES_tradnl"/>
                <w14:ligatures w14:val="none"/>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C4561B"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105.765.650,00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28449E"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5 Días</w:t>
            </w:r>
            <w:r w:rsidRPr="00616C3F">
              <w:rPr>
                <w:rFonts w:ascii="Times New Roman" w:eastAsia="Times New Roman" w:hAnsi="Times New Roman" w:cs="Times New Roman"/>
                <w:kern w:val="0"/>
                <w:lang w:val="es-VE" w:eastAsia="es-ES_tradnl"/>
                <w14:ligatures w14:val="none"/>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DD3027"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i/>
                <w:iCs/>
                <w:kern w:val="0"/>
                <w:vertAlign w:val="subscript"/>
                <w:lang w:val="es-VE" w:eastAsia="es-ES_tradnl"/>
                <w14:ligatures w14:val="none"/>
              </w:rPr>
              <w:t>5 Días</w:t>
            </w:r>
            <w:r w:rsidRPr="00616C3F">
              <w:rPr>
                <w:rFonts w:ascii="Times New Roman" w:eastAsia="Times New Roman" w:hAnsi="Times New Roman" w:cs="Times New Roman"/>
                <w:kern w:val="0"/>
                <w:lang w:val="es-VE" w:eastAsia="es-ES_tradnl"/>
                <w14:ligatures w14:val="none"/>
              </w:rPr>
              <w:t> </w:t>
            </w:r>
          </w:p>
        </w:tc>
      </w:tr>
      <w:tr w:rsidR="00616C3F" w:rsidRPr="00616C3F" w14:paraId="10CDE3CB" w14:textId="77777777" w:rsidTr="00616C3F">
        <w:tc>
          <w:tcPr>
            <w:tcW w:w="510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11E0F3"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Total Multa y Total de días de Clausura</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EFADC9"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300,00</w:t>
            </w:r>
            <w:r w:rsidRPr="00616C3F">
              <w:rPr>
                <w:rFonts w:ascii="Times New Roman" w:eastAsia="Times New Roman" w:hAnsi="Times New Roman" w:cs="Times New Roman"/>
                <w:kern w:val="0"/>
                <w:lang w:val="es-VE" w:eastAsia="es-ES_tradnl"/>
                <w14:ligatures w14:val="none"/>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EAB3E2"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652.693.960,00</w:t>
            </w:r>
            <w:r w:rsidRPr="00616C3F">
              <w:rPr>
                <w:rFonts w:ascii="Times New Roman" w:eastAsia="Times New Roman" w:hAnsi="Times New Roman" w:cs="Times New Roman"/>
                <w:kern w:val="0"/>
                <w:lang w:val="es-VE" w:eastAsia="es-ES_tradnl"/>
                <w14:ligatures w14:val="none"/>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03EA53"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 </w:t>
            </w:r>
            <w:r w:rsidRPr="00616C3F">
              <w:rPr>
                <w:rFonts w:ascii="Times New Roman" w:eastAsia="Times New Roman" w:hAnsi="Times New Roman" w:cs="Times New Roman"/>
                <w:kern w:val="0"/>
                <w:lang w:val="es-VE" w:eastAsia="es-ES_tradnl"/>
                <w14:ligatures w14:val="none"/>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414A59" w14:textId="77777777" w:rsidR="00616C3F" w:rsidRPr="00616C3F" w:rsidRDefault="00616C3F" w:rsidP="00616C3F">
            <w:pP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i/>
                <w:iCs/>
                <w:kern w:val="0"/>
                <w:vertAlign w:val="subscript"/>
                <w:lang w:val="es-VE" w:eastAsia="es-ES_tradnl"/>
                <w14:ligatures w14:val="none"/>
              </w:rPr>
              <w:t>17,5 Días</w:t>
            </w:r>
            <w:r w:rsidRPr="00616C3F">
              <w:rPr>
                <w:rFonts w:ascii="Times New Roman" w:eastAsia="Times New Roman" w:hAnsi="Times New Roman" w:cs="Times New Roman"/>
                <w:kern w:val="0"/>
                <w:lang w:val="es-VE" w:eastAsia="es-ES_tradnl"/>
                <w14:ligatures w14:val="none"/>
              </w:rPr>
              <w:t> </w:t>
            </w:r>
          </w:p>
        </w:tc>
      </w:tr>
    </w:tbl>
    <w:p w14:paraId="45A8A3B5" w14:textId="77777777" w:rsidR="00616C3F" w:rsidRPr="00616C3F" w:rsidRDefault="00616C3F" w:rsidP="00616C3F">
      <w:pPr>
        <w:shd w:val="clear" w:color="auto" w:fill="FFFFFF"/>
        <w:spacing w:before="240" w:after="240"/>
        <w:ind w:left="1134" w:right="901"/>
        <w:jc w:val="right"/>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 </w:t>
      </w:r>
      <w:r w:rsidRPr="00616C3F">
        <w:rPr>
          <w:rFonts w:ascii="Times New Roman" w:eastAsia="Times New Roman" w:hAnsi="Times New Roman" w:cs="Times New Roman"/>
          <w:color w:val="000000"/>
          <w:kern w:val="0"/>
          <w:lang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719D4319"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Por disconformidad con el referido acto administrativo, el 21 de junio de 2021, la ciudadana Yaneth Hortua De Mora, antes identificada, actuando en su carácter de propietaria del fondo de comercio Distribuidora Bam Bam, F.P., asistida por la abogada Rosa Elena Peña de Mendoza, mencionada anteriormente, interpuso recurso contencioso tributario con solicitud de medida cautelar de suspensión de efectos </w:t>
      </w:r>
      <w:r w:rsidRPr="00616C3F">
        <w:rPr>
          <w:rFonts w:ascii="Times New Roman" w:eastAsia="Times New Roman" w:hAnsi="Times New Roman" w:cs="Times New Roman"/>
          <w:color w:val="000000"/>
          <w:kern w:val="0"/>
          <w:lang w:eastAsia="es-ES_tradnl"/>
          <w14:ligatures w14:val="none"/>
        </w:rPr>
        <w:t>ante el Tribunal Superior de lo Contencioso Tributario de la Región Los Andes</w:t>
      </w:r>
      <w:r w:rsidRPr="00616C3F">
        <w:rPr>
          <w:rFonts w:ascii="Times New Roman" w:eastAsia="Times New Roman" w:hAnsi="Times New Roman" w:cs="Times New Roman"/>
          <w:color w:val="000000"/>
          <w:kern w:val="0"/>
          <w:lang w:val="es-VE" w:eastAsia="es-ES_tradnl"/>
          <w14:ligatures w14:val="none"/>
        </w:rPr>
        <w:t>, argumentando las consideraciones de hecho y derecho expresadas a continuación: </w:t>
      </w:r>
    </w:p>
    <w:p w14:paraId="392408F3"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Argumentó que “(…) </w:t>
      </w:r>
      <w:r w:rsidRPr="00616C3F">
        <w:rPr>
          <w:rFonts w:ascii="Times New Roman" w:eastAsia="Times New Roman" w:hAnsi="Times New Roman" w:cs="Times New Roman"/>
          <w:b/>
          <w:bCs/>
          <w:i/>
          <w:iCs/>
          <w:color w:val="000000"/>
          <w:kern w:val="0"/>
          <w:u w:val="single"/>
          <w:lang w:val="es-VE" w:eastAsia="es-ES_tradnl"/>
          <w14:ligatures w14:val="none"/>
        </w:rPr>
        <w:t>Primero</w:t>
      </w:r>
      <w:r w:rsidRPr="00616C3F">
        <w:rPr>
          <w:rFonts w:ascii="Times New Roman" w:eastAsia="Times New Roman" w:hAnsi="Times New Roman" w:cs="Times New Roman"/>
          <w:i/>
          <w:iCs/>
          <w:color w:val="000000"/>
          <w:kern w:val="0"/>
          <w:lang w:val="es-VE" w:eastAsia="es-ES_tradnl"/>
          <w14:ligatures w14:val="none"/>
        </w:rPr>
        <w:t>: en cuanto a la sanción aplicada por el hecho que la máquina fiscal no posee el dispositivo de captura y transmisión de datos, es de señalar que para el ejercicio de nuestra actividad, poseímos dos maquinas fiscales, como deja constancia el fiscal actuante en las actas fiscales, pero Ciudadana Juez, una de ellas se encuentra inoperativa, ni imprime las facturas, notas de créditos y debito, en virtud de que el modelo de impresora fiscal, y por tanto su memoraría se encuentra llena </w:t>
      </w:r>
      <w:r w:rsidRPr="00616C3F">
        <w:rPr>
          <w:rFonts w:ascii="Times New Roman" w:eastAsia="Times New Roman" w:hAnsi="Times New Roman" w:cs="Times New Roman"/>
          <w:color w:val="000000"/>
          <w:kern w:val="0"/>
          <w:lang w:val="es-VE" w:eastAsia="es-ES_tradnl"/>
          <w14:ligatures w14:val="none"/>
        </w:rPr>
        <w:t>(…)</w:t>
      </w:r>
      <w:r w:rsidRPr="00616C3F">
        <w:rPr>
          <w:rFonts w:ascii="Times New Roman" w:eastAsia="Times New Roman" w:hAnsi="Times New Roman" w:cs="Times New Roman"/>
          <w:i/>
          <w:iCs/>
          <w:color w:val="000000"/>
          <w:kern w:val="0"/>
          <w:lang w:val="es-VE" w:eastAsia="es-ES_tradnl"/>
          <w14:ligatures w14:val="none"/>
        </w:rPr>
        <w:t> y que es la razón por la cual esta impresora, por la cual fui sancionada, no poseía el dispositivo electrónico al haber sido desincorporada. Pero que debemos mantener en virtud de preservar la información allí contenida, lo que es un deber formal; en conclusión, no puede actualizarse, pero continuamos ejerciendo la actividad económica, con la otra impresora que poseemos y la cual si cuenta con el dispositivo, incurre por tanto la Administración Tributaria en falso supuesto de hecho en su apreciación</w:t>
      </w:r>
      <w:r w:rsidRPr="00616C3F">
        <w:rPr>
          <w:rFonts w:ascii="Times New Roman" w:eastAsia="Times New Roman" w:hAnsi="Times New Roman" w:cs="Times New Roman"/>
          <w:color w:val="000000"/>
          <w:kern w:val="0"/>
          <w:lang w:val="es-VE" w:eastAsia="es-ES_tradnl"/>
          <w14:ligatures w14:val="none"/>
        </w:rPr>
        <w:t> (…)”. (Sic) (Negrillas y subrayado de la cita). </w:t>
      </w:r>
    </w:p>
    <w:p w14:paraId="3678174A"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lastRenderedPageBreak/>
        <w:t>Señaló como segundo punto que el “(…) </w:t>
      </w:r>
      <w:r w:rsidRPr="00616C3F">
        <w:rPr>
          <w:rFonts w:ascii="Times New Roman" w:eastAsia="Times New Roman" w:hAnsi="Times New Roman" w:cs="Times New Roman"/>
          <w:i/>
          <w:iCs/>
          <w:color w:val="000000"/>
          <w:kern w:val="0"/>
          <w:lang w:val="es-VE" w:eastAsia="es-ES_tradnl"/>
          <w14:ligatures w14:val="none"/>
        </w:rPr>
        <w:t>error material al registrar en el libro de venta dos veces la misma factura, dicho hecho no tiene como consecuencia una disminución ilegitima de los ingresos tributarios, el hecho de registrarla dos veces no tuvo como consecuencia la omisión del pago del impuesto al valor agregado para el periodo comprendido entre el 01/12/2020 al 31/12/2020, ya que el mismo surgió de un error material involuntario, no existe intención dolosa de evadir el impuesto, ya que materialmente el monto de IVA de la factura fue cancelado incluso dos veces; en todo caso ciudadana Juez, de considerar este Tribunal que existe ilícito formal este hecho, el mismo sea considerado por esta instancia como un error material involuntario en el cual incurrimos, razón por la cual solicit</w:t>
      </w:r>
      <w:r w:rsidRPr="00616C3F">
        <w:rPr>
          <w:rFonts w:ascii="Times New Roman" w:eastAsia="Times New Roman" w:hAnsi="Times New Roman" w:cs="Times New Roman"/>
          <w:color w:val="000000"/>
          <w:kern w:val="0"/>
          <w:lang w:val="es-VE" w:eastAsia="es-ES_tradnl"/>
          <w14:ligatures w14:val="none"/>
        </w:rPr>
        <w:t>[o] </w:t>
      </w:r>
      <w:r w:rsidRPr="00616C3F">
        <w:rPr>
          <w:rFonts w:ascii="Times New Roman" w:eastAsia="Times New Roman" w:hAnsi="Times New Roman" w:cs="Times New Roman"/>
          <w:i/>
          <w:iCs/>
          <w:color w:val="000000"/>
          <w:kern w:val="0"/>
          <w:lang w:val="es-VE" w:eastAsia="es-ES_tradnl"/>
          <w14:ligatures w14:val="none"/>
        </w:rPr>
        <w:t>la eximente de responsabilidad articulo 85 numeral 4 COT </w:t>
      </w:r>
      <w:r w:rsidRPr="00616C3F">
        <w:rPr>
          <w:rFonts w:ascii="Times New Roman" w:eastAsia="Times New Roman" w:hAnsi="Times New Roman" w:cs="Times New Roman"/>
          <w:color w:val="000000"/>
          <w:kern w:val="0"/>
          <w:lang w:val="es-VE" w:eastAsia="es-ES_tradnl"/>
          <w14:ligatures w14:val="none"/>
        </w:rPr>
        <w:t>(…)”. (Sic). (Agregado de la Sala). </w:t>
      </w:r>
    </w:p>
    <w:p w14:paraId="38223086"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Manifestó que “</w:t>
      </w:r>
      <w:r w:rsidRPr="00616C3F">
        <w:rPr>
          <w:rFonts w:ascii="Times New Roman" w:eastAsia="Times New Roman" w:hAnsi="Times New Roman" w:cs="Times New Roman"/>
          <w:b/>
          <w:bCs/>
          <w:i/>
          <w:iCs/>
          <w:color w:val="000000"/>
          <w:kern w:val="0"/>
          <w:u w:val="single"/>
          <w:lang w:val="es-VE" w:eastAsia="es-ES_tradnl"/>
          <w14:ligatures w14:val="none"/>
        </w:rPr>
        <w:t>Tercero</w:t>
      </w:r>
      <w:r w:rsidRPr="00616C3F">
        <w:rPr>
          <w:rFonts w:ascii="Times New Roman" w:eastAsia="Times New Roman" w:hAnsi="Times New Roman" w:cs="Times New Roman"/>
          <w:i/>
          <w:iCs/>
          <w:color w:val="000000"/>
          <w:kern w:val="0"/>
          <w:lang w:val="es-VE" w:eastAsia="es-ES_tradnl"/>
          <w14:ligatures w14:val="none"/>
        </w:rPr>
        <w:t>: Al momento de imponer las sanciones la administración tributaria, como se evidencia en el acto administrativo aquí recurrido, incurre en el vicio de falso supuesto de derecho en relación con la aplicación de la concurrencia de ilícitos tributarios, razón por la cual solicit</w:t>
      </w:r>
      <w:r w:rsidRPr="00616C3F">
        <w:rPr>
          <w:rFonts w:ascii="Times New Roman" w:eastAsia="Times New Roman" w:hAnsi="Times New Roman" w:cs="Times New Roman"/>
          <w:color w:val="000000"/>
          <w:kern w:val="0"/>
          <w:lang w:val="es-VE" w:eastAsia="es-ES_tradnl"/>
          <w14:ligatures w14:val="none"/>
        </w:rPr>
        <w:t>[ó] </w:t>
      </w:r>
      <w:r w:rsidRPr="00616C3F">
        <w:rPr>
          <w:rFonts w:ascii="Times New Roman" w:eastAsia="Times New Roman" w:hAnsi="Times New Roman" w:cs="Times New Roman"/>
          <w:i/>
          <w:iCs/>
          <w:color w:val="000000"/>
          <w:kern w:val="0"/>
          <w:lang w:val="es-VE" w:eastAsia="es-ES_tradnl"/>
          <w14:ligatures w14:val="none"/>
        </w:rPr>
        <w:t>la anulación de las planillas y su emisión conforme al señalado criterio </w:t>
      </w:r>
      <w:r w:rsidRPr="00616C3F">
        <w:rPr>
          <w:rFonts w:ascii="Times New Roman" w:eastAsia="Times New Roman" w:hAnsi="Times New Roman" w:cs="Times New Roman"/>
          <w:color w:val="000000"/>
          <w:kern w:val="0"/>
          <w:lang w:val="es-VE" w:eastAsia="es-ES_tradnl"/>
          <w14:ligatures w14:val="none"/>
        </w:rPr>
        <w:t>(…)”. (Agregado de la Sala). </w:t>
      </w:r>
    </w:p>
    <w:p w14:paraId="12AC58D4"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De igual modo, como ya se indicó, con el recurso contencioso tributario, la contribuyente solicitó medida cautelar de suspensión de los efectos del acto con base en lo siguiente: </w:t>
      </w:r>
    </w:p>
    <w:p w14:paraId="78D86FD0"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Indicó, que “</w:t>
      </w:r>
      <w:r w:rsidRPr="00616C3F">
        <w:rPr>
          <w:rFonts w:ascii="Times New Roman" w:eastAsia="Times New Roman" w:hAnsi="Times New Roman" w:cs="Times New Roman"/>
          <w:i/>
          <w:iCs/>
          <w:color w:val="000000"/>
          <w:kern w:val="0"/>
          <w:lang w:val="es-VE" w:eastAsia="es-ES_tradnl"/>
          <w14:ligatures w14:val="none"/>
        </w:rPr>
        <w:t>visto que la actuación de la administración tributaria, a través de los fiscales del SENIAT, emitieron un acto que viola garantías constitucionales como la del debido proceso, y principios como el de la proporcionalidad, racionalidad y confianza legítima, como se demuestra en el presente escrito recursivo, que de materializarse sus actuaciones puedan causar a </w:t>
      </w:r>
      <w:r w:rsidRPr="00616C3F">
        <w:rPr>
          <w:rFonts w:ascii="Times New Roman" w:eastAsia="Times New Roman" w:hAnsi="Times New Roman" w:cs="Times New Roman"/>
          <w:color w:val="000000"/>
          <w:kern w:val="0"/>
          <w:lang w:val="es-VE" w:eastAsia="es-ES_tradnl"/>
          <w14:ligatures w14:val="none"/>
        </w:rPr>
        <w:t>[su]</w:t>
      </w:r>
      <w:r w:rsidRPr="00616C3F">
        <w:rPr>
          <w:rFonts w:ascii="Times New Roman" w:eastAsia="Times New Roman" w:hAnsi="Times New Roman" w:cs="Times New Roman"/>
          <w:i/>
          <w:iCs/>
          <w:color w:val="000000"/>
          <w:kern w:val="0"/>
          <w:lang w:val="es-VE" w:eastAsia="es-ES_tradnl"/>
          <w14:ligatures w14:val="none"/>
        </w:rPr>
        <w:t> representada un daño irreparable. Por cuanto a </w:t>
      </w:r>
      <w:r w:rsidRPr="00616C3F">
        <w:rPr>
          <w:rFonts w:ascii="Times New Roman" w:eastAsia="Times New Roman" w:hAnsi="Times New Roman" w:cs="Times New Roman"/>
          <w:color w:val="000000"/>
          <w:kern w:val="0"/>
          <w:lang w:val="es-VE" w:eastAsia="es-ES_tradnl"/>
          <w14:ligatures w14:val="none"/>
        </w:rPr>
        <w:t>[su]</w:t>
      </w:r>
      <w:r w:rsidRPr="00616C3F">
        <w:rPr>
          <w:rFonts w:ascii="Times New Roman" w:eastAsia="Times New Roman" w:hAnsi="Times New Roman" w:cs="Times New Roman"/>
          <w:i/>
          <w:iCs/>
          <w:color w:val="000000"/>
          <w:kern w:val="0"/>
          <w:lang w:val="es-VE" w:eastAsia="es-ES_tradnl"/>
          <w14:ligatures w14:val="none"/>
        </w:rPr>
        <w:t> criterio se encuentran presentes los requisitos señalados en el artículo 270 del Código Orgánico Tributario 2020, para la nulidad del acto, así como los elementos necesarios establecidos en la Jurisprudencia para la solicitud de una medida cautelar, como lo son fumus bonis iuris, la apariencia de certeza o de credibilidad de buen derecho, representado en el hecho de que</w:t>
      </w:r>
      <w:r w:rsidRPr="00616C3F">
        <w:rPr>
          <w:rFonts w:ascii="Times New Roman" w:eastAsia="Times New Roman" w:hAnsi="Times New Roman" w:cs="Times New Roman"/>
          <w:color w:val="000000"/>
          <w:kern w:val="0"/>
          <w:lang w:val="es-VE" w:eastAsia="es-ES_tradnl"/>
          <w14:ligatures w14:val="none"/>
        </w:rPr>
        <w:t> [su] </w:t>
      </w:r>
      <w:r w:rsidRPr="00616C3F">
        <w:rPr>
          <w:rFonts w:ascii="Times New Roman" w:eastAsia="Times New Roman" w:hAnsi="Times New Roman" w:cs="Times New Roman"/>
          <w:i/>
          <w:iCs/>
          <w:color w:val="000000"/>
          <w:kern w:val="0"/>
          <w:lang w:val="es-VE" w:eastAsia="es-ES_tradnl"/>
          <w14:ligatures w14:val="none"/>
        </w:rPr>
        <w:t xml:space="preserve">representada fue sancionada por hechos inexistentes ya que la maquina fiscal sancionada por no tener el dispositivo electrónico, esta inoperativa en virtud de que agoto su memoria fiscal y no tiene actualización ese modelo, fue sancionada por el incumplimiento de un deber formal inexistente, por el hecho que no se aplico de manera correctas el criterio de la concurrencia al aplicar las sanciones y la clausura del establecimiento y periculum in damni, que es considerado como un fundado temor de daño </w:t>
      </w:r>
      <w:r w:rsidRPr="00616C3F">
        <w:rPr>
          <w:rFonts w:ascii="Times New Roman" w:eastAsia="Times New Roman" w:hAnsi="Times New Roman" w:cs="Times New Roman"/>
          <w:i/>
          <w:iCs/>
          <w:color w:val="000000"/>
          <w:kern w:val="0"/>
          <w:lang w:val="es-VE" w:eastAsia="es-ES_tradnl"/>
          <w14:ligatures w14:val="none"/>
        </w:rPr>
        <w:lastRenderedPageBreak/>
        <w:t>inminente, patente, causal y manifiesto en la esfera jurídica del Administrado, como es el pago de sanciones inexistentes, con una errada graduación, que representa una erogación monetaria a la cual no está sujeta, adicionalmente a la clausura del establecimiento que representa pérdida económica por la suspensión de su actividad. Por lo tanto expuesto, solicit</w:t>
      </w:r>
      <w:r w:rsidRPr="00616C3F">
        <w:rPr>
          <w:rFonts w:ascii="Times New Roman" w:eastAsia="Times New Roman" w:hAnsi="Times New Roman" w:cs="Times New Roman"/>
          <w:color w:val="000000"/>
          <w:kern w:val="0"/>
          <w:lang w:val="es-VE" w:eastAsia="es-ES_tradnl"/>
          <w14:ligatures w14:val="none"/>
        </w:rPr>
        <w:t>[ó] </w:t>
      </w:r>
      <w:r w:rsidRPr="00616C3F">
        <w:rPr>
          <w:rFonts w:ascii="Times New Roman" w:eastAsia="Times New Roman" w:hAnsi="Times New Roman" w:cs="Times New Roman"/>
          <w:i/>
          <w:iCs/>
          <w:color w:val="000000"/>
          <w:kern w:val="0"/>
          <w:lang w:val="es-VE" w:eastAsia="es-ES_tradnl"/>
          <w14:ligatures w14:val="none"/>
        </w:rPr>
        <w:t>se decrete la suspensión de los efectos del acto, hasta la decisión que de por concluido este proceso</w:t>
      </w:r>
      <w:r w:rsidRPr="00616C3F">
        <w:rPr>
          <w:rFonts w:ascii="Times New Roman" w:eastAsia="Times New Roman" w:hAnsi="Times New Roman" w:cs="Times New Roman"/>
          <w:color w:val="000000"/>
          <w:kern w:val="0"/>
          <w:lang w:val="es-VE" w:eastAsia="es-ES_tradnl"/>
          <w14:ligatures w14:val="none"/>
        </w:rPr>
        <w:t> (…)”. (Corchetes de la Sala). </w:t>
      </w:r>
    </w:p>
    <w:p w14:paraId="2246849D"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065A2CDE"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4C77EC1B"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II</w:t>
      </w:r>
      <w:r w:rsidRPr="00616C3F">
        <w:rPr>
          <w:rFonts w:ascii="Times New Roman" w:eastAsia="Times New Roman" w:hAnsi="Times New Roman" w:cs="Times New Roman"/>
          <w:color w:val="000000"/>
          <w:kern w:val="0"/>
          <w:lang w:val="es-VE" w:eastAsia="es-ES_tradnl"/>
          <w14:ligatures w14:val="none"/>
        </w:rPr>
        <w:t> </w:t>
      </w:r>
    </w:p>
    <w:p w14:paraId="2FA9AF23"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eastAsia="es-ES_tradnl"/>
          <w14:ligatures w14:val="none"/>
        </w:rPr>
        <w:t>DE LA SENTENCIA APELADA</w:t>
      </w:r>
      <w:r w:rsidRPr="00616C3F">
        <w:rPr>
          <w:rFonts w:ascii="Times New Roman" w:eastAsia="Times New Roman" w:hAnsi="Times New Roman" w:cs="Times New Roman"/>
          <w:color w:val="000000"/>
          <w:kern w:val="0"/>
          <w:lang w:val="es-VE" w:eastAsia="es-ES_tradnl"/>
          <w14:ligatures w14:val="none"/>
        </w:rPr>
        <w:t> </w:t>
      </w:r>
    </w:p>
    <w:p w14:paraId="1BB097B3"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60B87A87"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  </w:t>
      </w:r>
    </w:p>
    <w:p w14:paraId="20417858" w14:textId="77777777" w:rsidR="00616C3F" w:rsidRPr="00616C3F" w:rsidRDefault="00616C3F" w:rsidP="00616C3F">
      <w:pPr>
        <w:spacing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El Tribunal Superior de lo Contencioso Tributario de la Región Los Andes, dictó en fecha </w:t>
      </w:r>
      <w:r w:rsidRPr="00616C3F">
        <w:rPr>
          <w:rFonts w:ascii="Times New Roman" w:eastAsia="Times New Roman" w:hAnsi="Times New Roman" w:cs="Times New Roman"/>
          <w:color w:val="000000"/>
          <w:kern w:val="0"/>
          <w:lang w:eastAsia="es-ES_tradnl"/>
          <w14:ligatures w14:val="none"/>
        </w:rPr>
        <w:t>9 de diciembre de 2021, </w:t>
      </w:r>
      <w:r w:rsidRPr="00616C3F">
        <w:rPr>
          <w:rFonts w:ascii="Times New Roman" w:eastAsia="Times New Roman" w:hAnsi="Times New Roman" w:cs="Times New Roman"/>
          <w:color w:val="000000"/>
          <w:kern w:val="0"/>
          <w:lang w:val="es-VE" w:eastAsia="es-ES_tradnl"/>
          <w14:ligatures w14:val="none"/>
        </w:rPr>
        <w:t>la </w:t>
      </w:r>
      <w:r w:rsidRPr="00616C3F">
        <w:rPr>
          <w:rFonts w:ascii="Times New Roman" w:eastAsia="Times New Roman" w:hAnsi="Times New Roman" w:cs="Times New Roman"/>
          <w:color w:val="000000"/>
          <w:kern w:val="0"/>
          <w:lang w:eastAsia="es-ES_tradnl"/>
          <w14:ligatures w14:val="none"/>
        </w:rPr>
        <w:t>sentencia interlocutoria N° 095-2021</w:t>
      </w:r>
      <w:r w:rsidRPr="00616C3F">
        <w:rPr>
          <w:rFonts w:ascii="Times New Roman" w:eastAsia="Times New Roman" w:hAnsi="Times New Roman" w:cs="Times New Roman"/>
          <w:color w:val="000000"/>
          <w:kern w:val="0"/>
          <w:lang w:val="es-VE" w:eastAsia="es-ES_tradnl"/>
          <w14:ligatures w14:val="none"/>
        </w:rPr>
        <w:t>, mediante la cual </w:t>
      </w:r>
      <w:r w:rsidRPr="00616C3F">
        <w:rPr>
          <w:rFonts w:ascii="Times New Roman" w:eastAsia="Times New Roman" w:hAnsi="Times New Roman" w:cs="Times New Roman"/>
          <w:color w:val="000000"/>
          <w:kern w:val="0"/>
          <w:lang w:eastAsia="es-ES_tradnl"/>
          <w14:ligatures w14:val="none"/>
        </w:rPr>
        <w:t>decretó procedente “</w:t>
      </w:r>
      <w:r w:rsidRPr="00616C3F">
        <w:rPr>
          <w:rFonts w:ascii="Times New Roman" w:eastAsia="Times New Roman" w:hAnsi="Times New Roman" w:cs="Times New Roman"/>
          <w:i/>
          <w:iCs/>
          <w:color w:val="000000"/>
          <w:kern w:val="0"/>
          <w:lang w:eastAsia="es-ES_tradnl"/>
          <w14:ligatures w14:val="none"/>
        </w:rPr>
        <w:t>la medida de suspensión de los efectos de </w:t>
      </w:r>
      <w:r w:rsidRPr="00616C3F">
        <w:rPr>
          <w:rFonts w:ascii="Times New Roman" w:eastAsia="Times New Roman" w:hAnsi="Times New Roman" w:cs="Times New Roman"/>
          <w:i/>
          <w:iCs/>
          <w:color w:val="000000"/>
          <w:kern w:val="0"/>
          <w:lang w:val="es-VE" w:eastAsia="es-ES_tradnl"/>
          <w14:ligatures w14:val="none"/>
        </w:rPr>
        <w:t>la Resolución de Imposición de Sanción identificada con letras y números SNAT/INTI/GRTI/RLA/SS/AF/2021/IVA/ISLR-00030/00041 de fecha 17 de febrero de 2021 </w:t>
      </w:r>
      <w:r w:rsidRPr="00616C3F">
        <w:rPr>
          <w:rFonts w:ascii="Times New Roman" w:eastAsia="Times New Roman" w:hAnsi="Times New Roman" w:cs="Times New Roman"/>
          <w:color w:val="000000"/>
          <w:kern w:val="0"/>
          <w:lang w:eastAsia="es-ES_tradnl"/>
          <w14:ligatures w14:val="none"/>
        </w:rPr>
        <w:t>(…)”, </w:t>
      </w:r>
      <w:r w:rsidRPr="00616C3F">
        <w:rPr>
          <w:rFonts w:ascii="Times New Roman" w:eastAsia="Times New Roman" w:hAnsi="Times New Roman" w:cs="Times New Roman"/>
          <w:color w:val="000000"/>
          <w:kern w:val="0"/>
          <w:lang w:val="es-VE" w:eastAsia="es-ES_tradnl"/>
          <w14:ligatures w14:val="none"/>
        </w:rPr>
        <w:t>fundamentándose en lo siguiente: </w:t>
      </w:r>
    </w:p>
    <w:p w14:paraId="0AB27FA5"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 </w:t>
      </w:r>
    </w:p>
    <w:p w14:paraId="7CD78ED7" w14:textId="77777777" w:rsidR="00616C3F" w:rsidRPr="00616C3F" w:rsidRDefault="00616C3F" w:rsidP="00616C3F">
      <w:pPr>
        <w:spacing w:before="200" w:after="200"/>
        <w:ind w:left="1134" w:right="901"/>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u w:val="single"/>
          <w:lang w:val="es-VE" w:eastAsia="es-ES_tradnl"/>
          <w14:ligatures w14:val="none"/>
        </w:rPr>
        <w:t>II</w:t>
      </w:r>
      <w:r w:rsidRPr="00616C3F">
        <w:rPr>
          <w:rFonts w:ascii="Times New Roman" w:eastAsia="Times New Roman" w:hAnsi="Times New Roman" w:cs="Times New Roman"/>
          <w:color w:val="000000"/>
          <w:kern w:val="0"/>
          <w:lang w:val="es-VE" w:eastAsia="es-ES_tradnl"/>
          <w14:ligatures w14:val="none"/>
        </w:rPr>
        <w:t> </w:t>
      </w:r>
    </w:p>
    <w:p w14:paraId="748FCD42"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u w:val="single"/>
          <w:lang w:val="es-VE" w:eastAsia="es-ES_tradnl"/>
          <w14:ligatures w14:val="none"/>
        </w:rPr>
        <w:t>A LOS FINES DE DECIDIR LA PROCEDENCIA DE LA SOLICITUD DE LA SUSPENSIÓN DE LOS EFECTOS DEL ACTO ADMINISTRATIVO ESTE JUZGADOR PARA DECIDIR OBSERVA</w:t>
      </w:r>
      <w:r w:rsidRPr="00616C3F">
        <w:rPr>
          <w:rFonts w:ascii="Times New Roman" w:eastAsia="Times New Roman" w:hAnsi="Times New Roman" w:cs="Times New Roman"/>
          <w:i/>
          <w:iCs/>
          <w:color w:val="000000"/>
          <w:kern w:val="0"/>
          <w:lang w:val="es-VE"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4BC24042"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t>En este sentido, la recurrente presenta la solicitud de Suspensión de los Efectos del Acto, enunciando los siguientes hechos:</w:t>
      </w:r>
      <w:r w:rsidRPr="00616C3F">
        <w:rPr>
          <w:rFonts w:ascii="Times New Roman" w:eastAsia="Times New Roman" w:hAnsi="Times New Roman" w:cs="Times New Roman"/>
          <w:color w:val="000000"/>
          <w:kern w:val="0"/>
          <w:lang w:val="es-VE" w:eastAsia="es-ES_tradnl"/>
          <w14:ligatures w14:val="none"/>
        </w:rPr>
        <w:t> </w:t>
      </w:r>
    </w:p>
    <w:p w14:paraId="7627F160"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t>En fecha 18 de noviembre de 2021, este tribunal mediante auto solicita que se acredite la prueba del daño, a los fines de pronunciarse sobre la medida cautelar de suspensión de los efectos del acto. En virtud de lo cual consignó acta de cobro SNAT/INTI/GRTI/RLA/SS/AR/CA/2021/0056 de fecha 22/07/2021, a través de la cual él a través del Sector de Tributos Internos Socopó, realiza gestiones de cobro, sobre el acto recurrido...</w:t>
      </w:r>
      <w:r w:rsidRPr="00616C3F">
        <w:rPr>
          <w:rFonts w:ascii="Times New Roman" w:eastAsia="Times New Roman" w:hAnsi="Times New Roman" w:cs="Times New Roman"/>
          <w:color w:val="000000"/>
          <w:kern w:val="0"/>
          <w:lang w:val="es-VE" w:eastAsia="es-ES_tradnl"/>
          <w14:ligatures w14:val="none"/>
        </w:rPr>
        <w:t> </w:t>
      </w:r>
    </w:p>
    <w:p w14:paraId="7563E210" w14:textId="77777777" w:rsidR="00616C3F" w:rsidRPr="00616C3F" w:rsidRDefault="00616C3F" w:rsidP="00616C3F">
      <w:pPr>
        <w:spacing w:before="200" w:after="200"/>
        <w:ind w:left="1134" w:right="901"/>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u w:val="single"/>
          <w:lang w:val="es-VE" w:eastAsia="es-ES_tradnl"/>
          <w14:ligatures w14:val="none"/>
        </w:rPr>
        <w:t>III</w:t>
      </w:r>
      <w:r w:rsidRPr="00616C3F">
        <w:rPr>
          <w:rFonts w:ascii="Times New Roman" w:eastAsia="Times New Roman" w:hAnsi="Times New Roman" w:cs="Times New Roman"/>
          <w:color w:val="000000"/>
          <w:kern w:val="0"/>
          <w:lang w:val="es-VE" w:eastAsia="es-ES_tradnl"/>
          <w14:ligatures w14:val="none"/>
        </w:rPr>
        <w:t> </w:t>
      </w:r>
    </w:p>
    <w:p w14:paraId="13E47920" w14:textId="77777777" w:rsidR="00616C3F" w:rsidRPr="00616C3F" w:rsidRDefault="00616C3F" w:rsidP="00616C3F">
      <w:pPr>
        <w:spacing w:before="200" w:after="200"/>
        <w:ind w:left="1134" w:right="901"/>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u w:val="single"/>
          <w:lang w:val="es-VE" w:eastAsia="es-ES_tradnl"/>
          <w14:ligatures w14:val="none"/>
        </w:rPr>
        <w:t>DE LAS PRUEBAS</w:t>
      </w:r>
      <w:r w:rsidRPr="00616C3F">
        <w:rPr>
          <w:rFonts w:ascii="Times New Roman" w:eastAsia="Times New Roman" w:hAnsi="Times New Roman" w:cs="Times New Roman"/>
          <w:color w:val="000000"/>
          <w:kern w:val="0"/>
          <w:lang w:val="es-VE" w:eastAsia="es-ES_tradnl"/>
          <w14:ligatures w14:val="none"/>
        </w:rPr>
        <w:t> </w:t>
      </w:r>
    </w:p>
    <w:p w14:paraId="3F077719"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u w:val="single"/>
          <w:lang w:val="es-VE" w:eastAsia="es-ES_tradnl"/>
          <w14:ligatures w14:val="none"/>
        </w:rPr>
        <w:t>Para probar el daño agregó el siguiente medio de prueba</w:t>
      </w:r>
      <w:r w:rsidRPr="00616C3F">
        <w:rPr>
          <w:rFonts w:ascii="Times New Roman" w:eastAsia="Times New Roman" w:hAnsi="Times New Roman" w:cs="Times New Roman"/>
          <w:i/>
          <w:iCs/>
          <w:color w:val="000000"/>
          <w:kern w:val="0"/>
          <w:lang w:val="es-VE"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1C70D5F2" w14:textId="77777777" w:rsidR="00616C3F" w:rsidRPr="00616C3F" w:rsidRDefault="00616C3F" w:rsidP="00616C3F">
      <w:pPr>
        <w:spacing w:before="200" w:after="200"/>
        <w:ind w:left="1494" w:right="901" w:hanging="360"/>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lastRenderedPageBreak/>
        <w:t>1.</w:t>
      </w:r>
      <w:r w:rsidRPr="00616C3F">
        <w:rPr>
          <w:rFonts w:ascii="Times New Roman" w:eastAsia="Times New Roman" w:hAnsi="Times New Roman" w:cs="Times New Roman"/>
          <w:i/>
          <w:iCs/>
          <w:color w:val="000000"/>
          <w:kern w:val="0"/>
          <w:sz w:val="14"/>
          <w:szCs w:val="14"/>
          <w:lang w:val="es-VE" w:eastAsia="es-ES_tradnl"/>
          <w14:ligatures w14:val="none"/>
        </w:rPr>
        <w:t>      </w:t>
      </w:r>
      <w:r w:rsidRPr="00616C3F">
        <w:rPr>
          <w:rFonts w:ascii="Times New Roman" w:eastAsia="Times New Roman" w:hAnsi="Times New Roman" w:cs="Times New Roman"/>
          <w:i/>
          <w:iCs/>
          <w:color w:val="000000"/>
          <w:kern w:val="0"/>
          <w:lang w:val="es-VE" w:eastAsia="es-ES_tradnl"/>
          <w14:ligatures w14:val="none"/>
        </w:rPr>
        <w:t>Acta de Cobro SNAT/INTI/GRTI/RLA/SS/AR/CA/2021-0056 (F-48 y 49</w:t>
      </w:r>
      <w:r w:rsidRPr="00616C3F">
        <w:rPr>
          <w:rFonts w:ascii="Times New Roman" w:eastAsia="Times New Roman" w:hAnsi="Times New Roman" w:cs="Times New Roman"/>
          <w:color w:val="000000"/>
          <w:kern w:val="0"/>
          <w:lang w:val="es-VE" w:eastAsia="es-ES_tradnl"/>
          <w14:ligatures w14:val="none"/>
        </w:rPr>
        <w:t> </w:t>
      </w:r>
    </w:p>
    <w:p w14:paraId="2FCC72EA" w14:textId="77777777" w:rsidR="00616C3F" w:rsidRPr="00616C3F" w:rsidRDefault="00616C3F" w:rsidP="00616C3F">
      <w:pPr>
        <w:spacing w:before="200" w:after="200"/>
        <w:ind w:left="1134" w:right="901"/>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 </w:t>
      </w:r>
    </w:p>
    <w:p w14:paraId="51615838"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t>Ahora bien, las reiteradas sentencias de la Sala Político Administrativa del Tribu Supremo de Justicia que mantienen la interpretación del artículo 263 hoy 290 del Código Orgánico Tributario 2020, indican las condiciones concurrentes de procedencia de medida de suspensión de efectos del acto recurrido son dos (02): 1° El peligro de esto es que ejecución pudiera causar graves perjuicios al interesado, y 2° El fomus bonis iuris, es decir que la impugnación se fundamentare en la apariencia de buen derecho.</w:t>
      </w:r>
      <w:r w:rsidRPr="00616C3F">
        <w:rPr>
          <w:rFonts w:ascii="Times New Roman" w:eastAsia="Times New Roman" w:hAnsi="Times New Roman" w:cs="Times New Roman"/>
          <w:color w:val="000000"/>
          <w:kern w:val="0"/>
          <w:lang w:val="es-VE" w:eastAsia="es-ES_tradnl"/>
          <w14:ligatures w14:val="none"/>
        </w:rPr>
        <w:t> </w:t>
      </w:r>
    </w:p>
    <w:p w14:paraId="1E8234B0"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t>Así el mencionado artículo confiere al juez la facultad de suspender los efectos del administrativo, como excepción a las presunciones de legalidad, veracidad, ejecutoriedad y ejecutividad, de que esta se encuentra naturalmente revestido.</w:t>
      </w:r>
      <w:r w:rsidRPr="00616C3F">
        <w:rPr>
          <w:rFonts w:ascii="Times New Roman" w:eastAsia="Times New Roman" w:hAnsi="Times New Roman" w:cs="Times New Roman"/>
          <w:color w:val="000000"/>
          <w:kern w:val="0"/>
          <w:lang w:val="es-VE" w:eastAsia="es-ES_tradnl"/>
          <w14:ligatures w14:val="none"/>
        </w:rPr>
        <w:t> </w:t>
      </w:r>
    </w:p>
    <w:p w14:paraId="042BFD56"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t>Tal como ha explicado reiteradamente la Sala Político Administrativa para que proceda Suspensión de los efectos es preciso y fundamental alegar hechos o circunstancias concretas y aportar elementos suficientes y precisos que permitan al Órgano Jurisdiccional concluir objetivamente sobre la irreparabilidad del daño por la sentencia definitiva, sentencia N° 471 de fecha 02/03/2000, caso Seguros la Federación, C.A., ratificado este criterio en Sentencia N° 01536, de fecha 03 de Diciembre del 2008, ponente Yolanda Jaimes Guerrero).</w:t>
      </w:r>
      <w:r w:rsidRPr="00616C3F">
        <w:rPr>
          <w:rFonts w:ascii="Times New Roman" w:eastAsia="Times New Roman" w:hAnsi="Times New Roman" w:cs="Times New Roman"/>
          <w:color w:val="000000"/>
          <w:kern w:val="0"/>
          <w:lang w:val="es-VE" w:eastAsia="es-ES_tradnl"/>
          <w14:ligatures w14:val="none"/>
        </w:rPr>
        <w:t> </w:t>
      </w:r>
    </w:p>
    <w:p w14:paraId="26A284F7"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t>En el caso de autos, se observa que efectivamente el Jefe Sector de Tributos Internos Socopo acciona para cobrar anticipadamente y por un procedimiento no previsto en Código Orgánico Tributario vigente, por lo que efectivamente viola el debido proceso administrativo y con él las garantías constitucionales, en este caso es imprescindible, dejar claro las sentencias de la Sala Político Administrativa del Tribunal Supremo de Justicia que han interpretado que significa estar firme el acto:</w:t>
      </w:r>
      <w:r w:rsidRPr="00616C3F">
        <w:rPr>
          <w:rFonts w:ascii="Times New Roman" w:eastAsia="Times New Roman" w:hAnsi="Times New Roman" w:cs="Times New Roman"/>
          <w:color w:val="000000"/>
          <w:kern w:val="0"/>
          <w:lang w:val="es-VE" w:eastAsia="es-ES_tradnl"/>
          <w14:ligatures w14:val="none"/>
        </w:rPr>
        <w:t> </w:t>
      </w:r>
    </w:p>
    <w:p w14:paraId="43D3BE76" w14:textId="77777777" w:rsidR="00616C3F" w:rsidRPr="00616C3F" w:rsidRDefault="00616C3F" w:rsidP="00616C3F">
      <w:pPr>
        <w:spacing w:before="200" w:after="200"/>
        <w:ind w:left="1134" w:right="901"/>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 </w:t>
      </w:r>
    </w:p>
    <w:p w14:paraId="2D3EA0B1"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t xml:space="preserve">En conclusión, al haberse ejercido el recurso contencioso tributario, no está firme y no se puede cobrar el acto, además el acta de cobro objeto de revisión, no hace mención a acto administrativo previo del cual se originan las cantidades adeudadas por la recurrente de autos, de igual forma no hace alusión a recursos de los cuales dispone el administrado para defenderse en caso de estar en desacuerdo con lo allí plasmado, por consiguiente se observa que las circunstancias bajo las cuales fue emitida el acta de cobro, menoscaba el derecho a la defensa del el recurrente y le causa un estado de indefensión, violando </w:t>
      </w:r>
      <w:r w:rsidRPr="00616C3F">
        <w:rPr>
          <w:rFonts w:ascii="Times New Roman" w:eastAsia="Times New Roman" w:hAnsi="Times New Roman" w:cs="Times New Roman"/>
          <w:i/>
          <w:iCs/>
          <w:color w:val="000000"/>
          <w:kern w:val="0"/>
          <w:lang w:val="es-VE" w:eastAsia="es-ES_tradnl"/>
          <w14:ligatures w14:val="none"/>
        </w:rPr>
        <w:lastRenderedPageBreak/>
        <w:t>igualmente el derecho al debido proceso, por utilizar vías distintas a las establecidas por el legislador.</w:t>
      </w:r>
      <w:r w:rsidRPr="00616C3F">
        <w:rPr>
          <w:rFonts w:ascii="Times New Roman" w:eastAsia="Times New Roman" w:hAnsi="Times New Roman" w:cs="Times New Roman"/>
          <w:color w:val="000000"/>
          <w:kern w:val="0"/>
          <w:lang w:val="es-VE" w:eastAsia="es-ES_tradnl"/>
          <w14:ligatures w14:val="none"/>
        </w:rPr>
        <w:t> </w:t>
      </w:r>
    </w:p>
    <w:p w14:paraId="56A76863"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t>En este sentido, se ha verificado la violación del debido proceso administrativo, la el mismo este firme en los términos señalados por la Sala Político Administrativa del posibilidad de ejecución inminente del acto, antes que se pronuncie la jurisdicción, sin que Tribunal Supremo de Justicia, por un procedimiento no previsto en el Código Orgánico Tributario, que afecta a la recurrente en sus derechos y garantías constitucionales y legales por lo que deben ser protegidos por lo que se considera que la ejecución anticipada puede causar un daño irreparable, así se decide.</w:t>
      </w:r>
      <w:r w:rsidRPr="00616C3F">
        <w:rPr>
          <w:rFonts w:ascii="Times New Roman" w:eastAsia="Times New Roman" w:hAnsi="Times New Roman" w:cs="Times New Roman"/>
          <w:color w:val="000000"/>
          <w:kern w:val="0"/>
          <w:lang w:val="es-VE" w:eastAsia="es-ES_tradnl"/>
          <w14:ligatures w14:val="none"/>
        </w:rPr>
        <w:t> </w:t>
      </w:r>
    </w:p>
    <w:p w14:paraId="6F5C7FBE"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t>En cuanto al fomus bonis iuris, efectivamente existe una violación flagrante del debido proceso en el acto sancionatorio, por lo que también es procedente. Siendo lo conducente es acordar la suspensión de los efectos del acto a los fines de garantizar tutela, judicial efectiva. Y así se declara.</w:t>
      </w:r>
      <w:r w:rsidRPr="00616C3F">
        <w:rPr>
          <w:rFonts w:ascii="Times New Roman" w:eastAsia="Times New Roman" w:hAnsi="Times New Roman" w:cs="Times New Roman"/>
          <w:color w:val="000000"/>
          <w:kern w:val="0"/>
          <w:lang w:val="es-VE" w:eastAsia="es-ES_tradnl"/>
          <w14:ligatures w14:val="none"/>
        </w:rPr>
        <w:t> </w:t>
      </w:r>
    </w:p>
    <w:p w14:paraId="4A9D9DCD" w14:textId="77777777" w:rsidR="00616C3F" w:rsidRPr="00616C3F" w:rsidRDefault="00616C3F" w:rsidP="00616C3F">
      <w:pPr>
        <w:spacing w:before="200" w:after="200"/>
        <w:ind w:left="1134" w:right="901"/>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lang w:val="es-VE" w:eastAsia="es-ES_tradnl"/>
          <w14:ligatures w14:val="none"/>
        </w:rPr>
        <w:t>IV</w:t>
      </w:r>
      <w:r w:rsidRPr="00616C3F">
        <w:rPr>
          <w:rFonts w:ascii="Times New Roman" w:eastAsia="Times New Roman" w:hAnsi="Times New Roman" w:cs="Times New Roman"/>
          <w:color w:val="000000"/>
          <w:kern w:val="0"/>
          <w:lang w:val="es-VE" w:eastAsia="es-ES_tradnl"/>
          <w14:ligatures w14:val="none"/>
        </w:rPr>
        <w:t> </w:t>
      </w:r>
    </w:p>
    <w:p w14:paraId="1BBB8C07" w14:textId="77777777" w:rsidR="00616C3F" w:rsidRPr="00616C3F" w:rsidRDefault="00616C3F" w:rsidP="00616C3F">
      <w:pPr>
        <w:spacing w:before="200" w:after="200"/>
        <w:ind w:left="1134" w:right="901"/>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lang w:val="es-VE" w:eastAsia="es-ES_tradnl"/>
          <w14:ligatures w14:val="none"/>
        </w:rPr>
        <w:t>DECISIÓN</w:t>
      </w:r>
      <w:r w:rsidRPr="00616C3F">
        <w:rPr>
          <w:rFonts w:ascii="Times New Roman" w:eastAsia="Times New Roman" w:hAnsi="Times New Roman" w:cs="Times New Roman"/>
          <w:color w:val="000000"/>
          <w:kern w:val="0"/>
          <w:lang w:val="es-VE" w:eastAsia="es-ES_tradnl"/>
          <w14:ligatures w14:val="none"/>
        </w:rPr>
        <w:t> </w:t>
      </w:r>
    </w:p>
    <w:p w14:paraId="04F7B81F"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lang w:val="es-VE" w:eastAsia="es-ES_tradnl"/>
          <w14:ligatures w14:val="none"/>
        </w:rPr>
        <w:t>ESTE TRIBUNAL SUPERIOR DE LO CONTENCIOSO TRIBUTARIO DE LA REGION LOS ANDES EN NOMBRE DE LA REPÚBLICA BOLIVARIANA DE VENEZUELA Y POR AUTORIDAD DE LA LEY ACUERDA:</w:t>
      </w:r>
      <w:r w:rsidRPr="00616C3F">
        <w:rPr>
          <w:rFonts w:ascii="Times New Roman" w:eastAsia="Times New Roman" w:hAnsi="Times New Roman" w:cs="Times New Roman"/>
          <w:color w:val="000000"/>
          <w:kern w:val="0"/>
          <w:lang w:val="es-VE" w:eastAsia="es-ES_tradnl"/>
          <w14:ligatures w14:val="none"/>
        </w:rPr>
        <w:t> </w:t>
      </w:r>
    </w:p>
    <w:p w14:paraId="2E5F2CFE"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lang w:val="es-VE" w:eastAsia="es-ES_tradnl"/>
          <w14:ligatures w14:val="none"/>
        </w:rPr>
        <w:t>1.- LA SUSPENSIÓN DE LOS EFECTOS DEL ACTO</w:t>
      </w:r>
      <w:r w:rsidRPr="00616C3F">
        <w:rPr>
          <w:rFonts w:ascii="Times New Roman" w:eastAsia="Times New Roman" w:hAnsi="Times New Roman" w:cs="Times New Roman"/>
          <w:i/>
          <w:iCs/>
          <w:color w:val="000000"/>
          <w:kern w:val="0"/>
          <w:lang w:val="es-VE" w:eastAsia="es-ES_tradnl"/>
          <w14:ligatures w14:val="none"/>
        </w:rPr>
        <w:t> Resolución de Imposición de Sanción SNAT/INTI/GRTI/RLA/SS/AF/ 2021/IVA/ISLR/00030/00041 de fecha 17 de Febrero de 2021, solicitada por la ciudadana YANETH HORTUA DE MORA, mayor de edad, titular de la cédula de identidad N° V-13.061.991, en su carácter de propietaria de la firma personal ‘DISTRIBUIDORA BAM BAM’, debidamente asistida por la abogada ROSA ELENA PEÑA DE MENDOZA, titular de la cédula de identidad N° V-9.215.364, e inscrita ante el Inpreabogado bajo el número 86.511.</w:t>
      </w:r>
      <w:r w:rsidRPr="00616C3F">
        <w:rPr>
          <w:rFonts w:ascii="Times New Roman" w:eastAsia="Times New Roman" w:hAnsi="Times New Roman" w:cs="Times New Roman"/>
          <w:color w:val="000000"/>
          <w:kern w:val="0"/>
          <w:lang w:val="es-VE" w:eastAsia="es-ES_tradnl"/>
          <w14:ligatures w14:val="none"/>
        </w:rPr>
        <w:t> </w:t>
      </w:r>
    </w:p>
    <w:p w14:paraId="144DDACD"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t>2.- NOTIFIQUESE, al Jefe de Sector de Tributos Internos Socopó Región los Andes SENIAT, I fines de su ejecución.</w:t>
      </w:r>
      <w:r w:rsidRPr="00616C3F">
        <w:rPr>
          <w:rFonts w:ascii="Times New Roman" w:eastAsia="Times New Roman" w:hAnsi="Times New Roman" w:cs="Times New Roman"/>
          <w:color w:val="000000"/>
          <w:kern w:val="0"/>
          <w:lang w:val="es-VE" w:eastAsia="es-ES_tradnl"/>
          <w14:ligatures w14:val="none"/>
        </w:rPr>
        <w:t> </w:t>
      </w:r>
    </w:p>
    <w:p w14:paraId="09CFABBD" w14:textId="77777777" w:rsidR="00616C3F" w:rsidRPr="00616C3F" w:rsidRDefault="00616C3F" w:rsidP="00616C3F">
      <w:pPr>
        <w:spacing w:before="200" w:after="200"/>
        <w:ind w:left="1134" w:right="901"/>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VE" w:eastAsia="es-ES_tradnl"/>
          <w14:ligatures w14:val="none"/>
        </w:rPr>
        <w:t>3 NOTIFIQUESE al Procurador General de la República de conformidad con el artículo 98 de la Ley Orgánica de la Procuraduría General de la República y una vez conste en autos su notificación comenzara a computarse el lapso para apelar de conformidad con el artículo 290 del Código Orgánico Tributario. </w:t>
      </w:r>
      <w:r w:rsidRPr="00616C3F">
        <w:rPr>
          <w:rFonts w:ascii="Times New Roman" w:eastAsia="Times New Roman" w:hAnsi="Times New Roman" w:cs="Times New Roman"/>
          <w:color w:val="000000"/>
          <w:kern w:val="0"/>
          <w:lang w:val="es-VE" w:eastAsia="es-ES_tradnl"/>
          <w14:ligatures w14:val="none"/>
        </w:rPr>
        <w:t>(…)”. (Sic). (Resaltados y mayúsculas de la cita). </w:t>
      </w:r>
    </w:p>
    <w:p w14:paraId="7EFC2D26"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2B5D138D"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lastRenderedPageBreak/>
        <w:t> </w:t>
      </w:r>
      <w:r w:rsidRPr="00616C3F">
        <w:rPr>
          <w:rFonts w:ascii="Times New Roman" w:eastAsia="Times New Roman" w:hAnsi="Times New Roman" w:cs="Times New Roman"/>
          <w:color w:val="000000"/>
          <w:kern w:val="0"/>
          <w:lang w:val="es-VE" w:eastAsia="es-ES_tradnl"/>
          <w14:ligatures w14:val="none"/>
        </w:rPr>
        <w:t> </w:t>
      </w:r>
    </w:p>
    <w:p w14:paraId="2CC3CEBB"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III</w:t>
      </w:r>
      <w:r w:rsidRPr="00616C3F">
        <w:rPr>
          <w:rFonts w:ascii="Times New Roman" w:eastAsia="Times New Roman" w:hAnsi="Times New Roman" w:cs="Times New Roman"/>
          <w:color w:val="000000"/>
          <w:kern w:val="0"/>
          <w:lang w:val="es-VE" w:eastAsia="es-ES_tradnl"/>
          <w14:ligatures w14:val="none"/>
        </w:rPr>
        <w:t> </w:t>
      </w:r>
    </w:p>
    <w:p w14:paraId="6EDEB2D9"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FUNDAMENTACIÓN DE LA APELACIÓN</w:t>
      </w:r>
      <w:r w:rsidRPr="00616C3F">
        <w:rPr>
          <w:rFonts w:ascii="Times New Roman" w:eastAsia="Times New Roman" w:hAnsi="Times New Roman" w:cs="Times New Roman"/>
          <w:color w:val="000000"/>
          <w:kern w:val="0"/>
          <w:lang w:val="es-VE" w:eastAsia="es-ES_tradnl"/>
          <w14:ligatures w14:val="none"/>
        </w:rPr>
        <w:t> </w:t>
      </w:r>
    </w:p>
    <w:p w14:paraId="708023A5"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7EE451AC"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  </w:t>
      </w:r>
    </w:p>
    <w:p w14:paraId="181E2082" w14:textId="77777777" w:rsidR="00616C3F" w:rsidRPr="00616C3F" w:rsidRDefault="00616C3F" w:rsidP="00616C3F">
      <w:pPr>
        <w:spacing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En fecha 28 de julio de 2022, el abogado Felipe Elías Mercado Puerta, plenamente identificado, actuando como sustituto del Procurador General de la República, en representación del Fisco Nacional, presentó escrito de fundamentación de apelación, en el que alegó lo siguiente: </w:t>
      </w:r>
    </w:p>
    <w:p w14:paraId="56D1D9CA" w14:textId="77777777" w:rsidR="00616C3F" w:rsidRPr="00616C3F" w:rsidRDefault="00616C3F" w:rsidP="00616C3F">
      <w:pPr>
        <w:spacing w:before="240" w:after="24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Señaló que “(…) </w:t>
      </w:r>
      <w:r w:rsidRPr="00616C3F">
        <w:rPr>
          <w:rFonts w:ascii="Times New Roman" w:eastAsia="Times New Roman" w:hAnsi="Times New Roman" w:cs="Times New Roman"/>
          <w:i/>
          <w:iCs/>
          <w:color w:val="000000"/>
          <w:kern w:val="0"/>
          <w:lang w:val="es-VE" w:eastAsia="es-ES_tradnl"/>
          <w14:ligatures w14:val="none"/>
        </w:rPr>
        <w:t>En primer lugar, ratificamos en todas y cada de sus partes, el contenido de la Resolución de Imposición de Sanción Nro. SNAT/INTI/GRTI/RLA/SS/AF/2021/IVA/ISLR/00030/00041 de fecha 17 de febrero de 2021, emanada del Sector de Tributos Internos de Socopó adscrita a la Gerencia Regional de Tributos Internos de la Región Los Andes del SENIAT, y pasamos de seguida a presentar las consideraciones siguientes contra la Sentencia N° 095-21; anteriormente identificada</w:t>
      </w:r>
      <w:r w:rsidRPr="00616C3F">
        <w:rPr>
          <w:rFonts w:ascii="Times New Roman" w:eastAsia="Times New Roman" w:hAnsi="Times New Roman" w:cs="Times New Roman"/>
          <w:color w:val="000000"/>
          <w:kern w:val="0"/>
          <w:lang w:val="es-VE" w:eastAsia="es-ES_tradnl"/>
          <w14:ligatures w14:val="none"/>
        </w:rPr>
        <w:t> (…)”. (Sic). </w:t>
      </w:r>
    </w:p>
    <w:p w14:paraId="4B9D0DEC" w14:textId="77777777" w:rsidR="00616C3F" w:rsidRPr="00616C3F" w:rsidRDefault="00616C3F" w:rsidP="00616C3F">
      <w:pPr>
        <w:spacing w:before="240" w:after="24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Denunció el “(...) </w:t>
      </w:r>
      <w:r w:rsidRPr="00616C3F">
        <w:rPr>
          <w:rFonts w:ascii="Times New Roman" w:eastAsia="Times New Roman" w:hAnsi="Times New Roman" w:cs="Times New Roman"/>
          <w:i/>
          <w:iCs/>
          <w:color w:val="000000"/>
          <w:kern w:val="0"/>
          <w:lang w:val="es-VE" w:eastAsia="es-ES_tradnl"/>
          <w14:ligatures w14:val="none"/>
        </w:rPr>
        <w:t>VICIO DE FALSO SUPUESTO DE HECHO QUE HIZO INCURRIR AL JUEZ EN UN FALSO SUPUESTO DE DERECHO A LOS FINES DE SUSPENDER LOS EFECTOS DEL ACTO ADMINISTRATIVO, Acerca de la solicitud de suspensión de efectos, estima necesario esta representación de la República señalar que, para el otorgamiento de la suspensión de efectos del acto recurrido, se hace necesaria la verificación de los requisitos de procedencia de toda medida cautelar, esto es, no sólo el peligro en la demora y la presunción grave del derecho que se reclama, sino el peligro de daño inminente </w:t>
      </w:r>
      <w:r w:rsidRPr="00616C3F">
        <w:rPr>
          <w:rFonts w:ascii="Times New Roman" w:eastAsia="Times New Roman" w:hAnsi="Times New Roman" w:cs="Times New Roman"/>
          <w:color w:val="000000"/>
          <w:kern w:val="0"/>
          <w:lang w:val="es-UY"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632BF405" w14:textId="77777777" w:rsidR="00616C3F" w:rsidRPr="00616C3F" w:rsidRDefault="00616C3F" w:rsidP="00616C3F">
      <w:pPr>
        <w:spacing w:before="240" w:after="24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UY" w:eastAsia="es-ES_tradnl"/>
          <w14:ligatures w14:val="none"/>
        </w:rPr>
        <w:t>Con respecto al vicio antes invocado</w:t>
      </w:r>
      <w:r w:rsidRPr="00616C3F">
        <w:rPr>
          <w:rFonts w:ascii="Times New Roman" w:eastAsia="Times New Roman" w:hAnsi="Times New Roman" w:cs="Times New Roman"/>
          <w:color w:val="000000"/>
          <w:kern w:val="0"/>
          <w:lang w:val="es-VE" w:eastAsia="es-ES_tradnl"/>
          <w14:ligatures w14:val="none"/>
        </w:rPr>
        <w:t>, la representación judicial de la República adujo que “(…)</w:t>
      </w:r>
      <w:r w:rsidRPr="00616C3F">
        <w:rPr>
          <w:rFonts w:ascii="Times New Roman" w:eastAsia="Times New Roman" w:hAnsi="Times New Roman" w:cs="Times New Roman"/>
          <w:i/>
          <w:iCs/>
          <w:color w:val="000000"/>
          <w:kern w:val="0"/>
          <w:lang w:val="es-VE" w:eastAsia="es-ES_tradnl"/>
          <w14:ligatures w14:val="none"/>
        </w:rPr>
        <w:t> el acta de cobro no es un acto administrativo decisorio, tan solo es un acto de notificación a la contribuyente con el objeto de ponerle en conocimiento de los derechos pendientes a favor del Fisco Nacional por los tributos nacionales y sus accesorios, que ya habían sido determinados y cuantificados en la Resolución de Imposición de Sanción            Nro. SNAT/INT/GRTI/RLA/SS/AF/2021/IVA/ISLR/00030/00041 de fecha 17 de febrero de 2021, notificada el 05 de marzo de 2021, del cual la Contribuyente hoy recurrente, estaba en pleno conocimiento, tanto es así que ejerció su derecho a la defensa y al debido proceso al interponer el recurso contencioso tributario. Por lo que entonces mal puede afirmar el a quo que se vulneró los derechos y garantías constitucionales y legales a la Contribuyente en el presente caso, y así pedimos sea declarado </w:t>
      </w:r>
      <w:r w:rsidRPr="00616C3F">
        <w:rPr>
          <w:rFonts w:ascii="Times New Roman" w:eastAsia="Times New Roman" w:hAnsi="Times New Roman" w:cs="Times New Roman"/>
          <w:color w:val="000000"/>
          <w:kern w:val="0"/>
          <w:lang w:val="es-VE" w:eastAsia="es-ES_tradnl"/>
          <w14:ligatures w14:val="none"/>
        </w:rPr>
        <w:t>(…)”. (Sic). </w:t>
      </w:r>
    </w:p>
    <w:p w14:paraId="283D4321" w14:textId="77777777" w:rsidR="00616C3F" w:rsidRPr="00616C3F" w:rsidRDefault="00616C3F" w:rsidP="00616C3F">
      <w:pPr>
        <w:ind w:left="1134" w:right="901"/>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lastRenderedPageBreak/>
        <w:t> </w:t>
      </w:r>
      <w:r w:rsidRPr="00616C3F">
        <w:rPr>
          <w:rFonts w:ascii="Times New Roman" w:eastAsia="Times New Roman" w:hAnsi="Times New Roman" w:cs="Times New Roman"/>
          <w:color w:val="000000"/>
          <w:kern w:val="0"/>
          <w:lang w:val="es-VE" w:eastAsia="es-ES_tradnl"/>
          <w14:ligatures w14:val="none"/>
        </w:rPr>
        <w:t> </w:t>
      </w:r>
    </w:p>
    <w:p w14:paraId="5144FE43" w14:textId="77777777" w:rsidR="00616C3F" w:rsidRPr="00616C3F" w:rsidRDefault="00616C3F" w:rsidP="00616C3F">
      <w:pPr>
        <w:ind w:left="1134" w:right="901"/>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IV</w:t>
      </w:r>
      <w:r w:rsidRPr="00616C3F">
        <w:rPr>
          <w:rFonts w:ascii="Times New Roman" w:eastAsia="Times New Roman" w:hAnsi="Times New Roman" w:cs="Times New Roman"/>
          <w:color w:val="000000"/>
          <w:kern w:val="0"/>
          <w:lang w:val="es-VE" w:eastAsia="es-ES_tradnl"/>
          <w14:ligatures w14:val="none"/>
        </w:rPr>
        <w:t> </w:t>
      </w:r>
    </w:p>
    <w:p w14:paraId="5EDB2FCC"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eastAsia="es-ES_tradnl"/>
          <w14:ligatures w14:val="none"/>
        </w:rPr>
        <w:t>CONSIDERACIONES PARA DECIDIR</w:t>
      </w:r>
      <w:r w:rsidRPr="00616C3F">
        <w:rPr>
          <w:rFonts w:ascii="Times New Roman" w:eastAsia="Times New Roman" w:hAnsi="Times New Roman" w:cs="Times New Roman"/>
          <w:color w:val="000000"/>
          <w:kern w:val="0"/>
          <w:lang w:val="es-VE" w:eastAsia="es-ES_tradnl"/>
          <w14:ligatures w14:val="none"/>
        </w:rPr>
        <w:t> </w:t>
      </w:r>
    </w:p>
    <w:p w14:paraId="19C58EB0"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4AFFA6CA"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  </w:t>
      </w:r>
    </w:p>
    <w:p w14:paraId="4CAE7DB5" w14:textId="77777777" w:rsidR="00616C3F" w:rsidRPr="00616C3F" w:rsidRDefault="00616C3F" w:rsidP="00616C3F">
      <w:pPr>
        <w:spacing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Corresponde a esta Alzada pronunciarse sobre el recurso de apelación incoado contra el fallo interlocutorio N° 095-21 de fecha 9 de diciembre de 2021 dictado por el Tribunal Superior de lo Contencioso Tributario de la Región Los Andes, que declaró “(…) </w:t>
      </w:r>
      <w:r w:rsidRPr="00616C3F">
        <w:rPr>
          <w:rFonts w:ascii="Times New Roman" w:eastAsia="Times New Roman" w:hAnsi="Times New Roman" w:cs="Times New Roman"/>
          <w:b/>
          <w:bCs/>
          <w:i/>
          <w:iCs/>
          <w:color w:val="000000"/>
          <w:kern w:val="0"/>
          <w:lang w:val="es-VE" w:eastAsia="es-ES_tradnl"/>
          <w14:ligatures w14:val="none"/>
        </w:rPr>
        <w:t>LA SUSPENSIÓN DE LOS EFECTOS DEL ACTO </w:t>
      </w:r>
      <w:r w:rsidRPr="00616C3F">
        <w:rPr>
          <w:rFonts w:ascii="Times New Roman" w:eastAsia="Times New Roman" w:hAnsi="Times New Roman" w:cs="Times New Roman"/>
          <w:i/>
          <w:iCs/>
          <w:color w:val="000000"/>
          <w:kern w:val="0"/>
          <w:lang w:val="es-VE" w:eastAsia="es-ES_tradnl"/>
          <w14:ligatures w14:val="none"/>
        </w:rPr>
        <w:t>Resolución de Imposición de Sanción </w:t>
      </w:r>
      <w:r w:rsidRPr="00616C3F">
        <w:rPr>
          <w:rFonts w:ascii="Times New Roman" w:eastAsia="Times New Roman" w:hAnsi="Times New Roman" w:cs="Times New Roman"/>
          <w:b/>
          <w:bCs/>
          <w:i/>
          <w:iCs/>
          <w:color w:val="000000"/>
          <w:kern w:val="0"/>
          <w:lang w:val="es-VE" w:eastAsia="es-ES_tradnl"/>
          <w14:ligatures w14:val="none"/>
        </w:rPr>
        <w:t>SNAT/INTI/GRTI/RLA/ SS/AF/2021/IVA/ISLR/00030/00041 de fecha 17 de febrero de 2021 </w:t>
      </w:r>
      <w:r w:rsidRPr="00616C3F">
        <w:rPr>
          <w:rFonts w:ascii="Times New Roman" w:eastAsia="Times New Roman" w:hAnsi="Times New Roman" w:cs="Times New Roman"/>
          <w:color w:val="000000"/>
          <w:kern w:val="0"/>
          <w:lang w:val="es-VE" w:eastAsia="es-ES_tradnl"/>
          <w14:ligatures w14:val="none"/>
        </w:rPr>
        <w:t>(…)”, solicitada con el recurso contencioso tributario interpuesto por el fondo de comercio Distribuidora Bam Bam, F.P. </w:t>
      </w:r>
    </w:p>
    <w:p w14:paraId="5D1958ED"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eastAsia="es-ES_tradnl"/>
          <w14:ligatures w14:val="none"/>
        </w:rPr>
        <w:t>De esta forma, en virtud de la declaratoria contenida en la sentencia apelada, examinadas como han sido </w:t>
      </w:r>
      <w:r w:rsidRPr="00616C3F">
        <w:rPr>
          <w:rFonts w:ascii="Times New Roman" w:eastAsia="Times New Roman" w:hAnsi="Times New Roman" w:cs="Times New Roman"/>
          <w:color w:val="000000"/>
          <w:kern w:val="0"/>
          <w:lang w:val="es-VE" w:eastAsia="es-ES_tradnl"/>
          <w14:ligatures w14:val="none"/>
        </w:rPr>
        <w:t>las objeciones formuladas en su contra por el apoderado de la República, observa que la controversia planteada al caso en estudio se circunscribe a decidir si el Tribunal de mérito que</w:t>
      </w:r>
      <w:r w:rsidRPr="00616C3F">
        <w:rPr>
          <w:rFonts w:ascii="Times New Roman" w:eastAsia="Times New Roman" w:hAnsi="Times New Roman" w:cs="Times New Roman"/>
          <w:color w:val="000000"/>
          <w:kern w:val="0"/>
          <w:lang w:val="es-ES" w:eastAsia="es-ES_tradnl"/>
          <w14:ligatures w14:val="none"/>
        </w:rPr>
        <w:t> acordó la suspensión de los efectos del acto solicitado con el recurso contencioso tributario, incurrió en el vicio de falso supuesto de hecho y vicio de falso supuesto de derecho al considerar aplicable la suspensión de los efectos prevista en el artículo 270 del Código Orgánico Tributario del 2020.</w:t>
      </w:r>
      <w:r w:rsidRPr="00616C3F">
        <w:rPr>
          <w:rFonts w:ascii="Times New Roman" w:eastAsia="Times New Roman" w:hAnsi="Times New Roman" w:cs="Times New Roman"/>
          <w:color w:val="000000"/>
          <w:kern w:val="0"/>
          <w:lang w:val="es-VE" w:eastAsia="es-ES_tradnl"/>
          <w14:ligatures w14:val="none"/>
        </w:rPr>
        <w:t> </w:t>
      </w:r>
    </w:p>
    <w:p w14:paraId="30756393"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Delimitada así la </w:t>
      </w:r>
      <w:r w:rsidRPr="00616C3F">
        <w:rPr>
          <w:rFonts w:ascii="Times New Roman" w:eastAsia="Times New Roman" w:hAnsi="Times New Roman" w:cs="Times New Roman"/>
          <w:i/>
          <w:iCs/>
          <w:color w:val="000000"/>
          <w:kern w:val="0"/>
          <w:lang w:val="es-ES" w:eastAsia="es-ES_tradnl"/>
          <w14:ligatures w14:val="none"/>
        </w:rPr>
        <w:t>litis</w:t>
      </w:r>
      <w:r w:rsidRPr="00616C3F">
        <w:rPr>
          <w:rFonts w:ascii="Times New Roman" w:eastAsia="Times New Roman" w:hAnsi="Times New Roman" w:cs="Times New Roman"/>
          <w:color w:val="000000"/>
          <w:kern w:val="0"/>
          <w:lang w:val="es-ES" w:eastAsia="es-ES_tradnl"/>
          <w14:ligatures w14:val="none"/>
        </w:rPr>
        <w:t>, pasa esta Sala a decidir y al efecto observa:</w:t>
      </w:r>
      <w:r w:rsidRPr="00616C3F">
        <w:rPr>
          <w:rFonts w:ascii="Times New Roman" w:eastAsia="Times New Roman" w:hAnsi="Times New Roman" w:cs="Times New Roman"/>
          <w:color w:val="000000"/>
          <w:kern w:val="0"/>
          <w:lang w:val="es-VE" w:eastAsia="es-ES_tradnl"/>
          <w14:ligatures w14:val="none"/>
        </w:rPr>
        <w:t> </w:t>
      </w:r>
    </w:p>
    <w:p w14:paraId="2279D253"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La sentencia apelada destacó que sí se cumplieron los requisitos del</w:t>
      </w:r>
      <w:r w:rsidRPr="00616C3F">
        <w:rPr>
          <w:rFonts w:ascii="Times New Roman" w:eastAsia="Times New Roman" w:hAnsi="Times New Roman" w:cs="Times New Roman"/>
          <w:i/>
          <w:iCs/>
          <w:color w:val="000000"/>
          <w:kern w:val="0"/>
          <w:lang w:val="es-ES" w:eastAsia="es-ES_tradnl"/>
          <w14:ligatures w14:val="none"/>
        </w:rPr>
        <w:t> </w:t>
      </w:r>
      <w:proofErr w:type="spellStart"/>
      <w:r w:rsidRPr="00616C3F">
        <w:rPr>
          <w:rFonts w:ascii="Times New Roman" w:eastAsia="Times New Roman" w:hAnsi="Times New Roman" w:cs="Times New Roman"/>
          <w:i/>
          <w:iCs/>
          <w:color w:val="000000"/>
          <w:kern w:val="0"/>
          <w:lang w:val="es-ES" w:eastAsia="es-ES_tradnl"/>
          <w14:ligatures w14:val="none"/>
        </w:rPr>
        <w:t>fumus</w:t>
      </w:r>
      <w:proofErr w:type="spellEnd"/>
      <w:r w:rsidRPr="00616C3F">
        <w:rPr>
          <w:rFonts w:ascii="Times New Roman" w:eastAsia="Times New Roman" w:hAnsi="Times New Roman" w:cs="Times New Roman"/>
          <w:i/>
          <w:iCs/>
          <w:color w:val="000000"/>
          <w:kern w:val="0"/>
          <w:lang w:val="es-ES" w:eastAsia="es-ES_tradnl"/>
          <w14:ligatures w14:val="none"/>
        </w:rPr>
        <w:t xml:space="preserve"> </w:t>
      </w:r>
      <w:proofErr w:type="spellStart"/>
      <w:r w:rsidRPr="00616C3F">
        <w:rPr>
          <w:rFonts w:ascii="Times New Roman" w:eastAsia="Times New Roman" w:hAnsi="Times New Roman" w:cs="Times New Roman"/>
          <w:i/>
          <w:iCs/>
          <w:color w:val="000000"/>
          <w:kern w:val="0"/>
          <w:lang w:val="es-ES" w:eastAsia="es-ES_tradnl"/>
          <w14:ligatures w14:val="none"/>
        </w:rPr>
        <w:t>boni</w:t>
      </w:r>
      <w:proofErr w:type="spellEnd"/>
      <w:r w:rsidRPr="00616C3F">
        <w:rPr>
          <w:rFonts w:ascii="Times New Roman" w:eastAsia="Times New Roman" w:hAnsi="Times New Roman" w:cs="Times New Roman"/>
          <w:i/>
          <w:iCs/>
          <w:color w:val="000000"/>
          <w:kern w:val="0"/>
          <w:lang w:val="es-ES" w:eastAsia="es-ES_tradnl"/>
          <w14:ligatures w14:val="none"/>
        </w:rPr>
        <w:t xml:space="preserve"> iuris y el </w:t>
      </w:r>
      <w:proofErr w:type="spellStart"/>
      <w:r w:rsidRPr="00616C3F">
        <w:rPr>
          <w:rFonts w:ascii="Times New Roman" w:eastAsia="Times New Roman" w:hAnsi="Times New Roman" w:cs="Times New Roman"/>
          <w:i/>
          <w:iCs/>
          <w:color w:val="000000"/>
          <w:kern w:val="0"/>
          <w:lang w:val="es-ES" w:eastAsia="es-ES_tradnl"/>
          <w14:ligatures w14:val="none"/>
        </w:rPr>
        <w:t>periculum</w:t>
      </w:r>
      <w:proofErr w:type="spellEnd"/>
      <w:r w:rsidRPr="00616C3F">
        <w:rPr>
          <w:rFonts w:ascii="Times New Roman" w:eastAsia="Times New Roman" w:hAnsi="Times New Roman" w:cs="Times New Roman"/>
          <w:i/>
          <w:iCs/>
          <w:color w:val="000000"/>
          <w:kern w:val="0"/>
          <w:lang w:val="es-ES" w:eastAsia="es-ES_tradnl"/>
          <w14:ligatures w14:val="none"/>
        </w:rPr>
        <w:t xml:space="preserve"> in </w:t>
      </w:r>
      <w:proofErr w:type="spellStart"/>
      <w:r w:rsidRPr="00616C3F">
        <w:rPr>
          <w:rFonts w:ascii="Times New Roman" w:eastAsia="Times New Roman" w:hAnsi="Times New Roman" w:cs="Times New Roman"/>
          <w:i/>
          <w:iCs/>
          <w:color w:val="000000"/>
          <w:kern w:val="0"/>
          <w:lang w:val="es-ES" w:eastAsia="es-ES_tradnl"/>
          <w14:ligatures w14:val="none"/>
        </w:rPr>
        <w:t>damni</w:t>
      </w:r>
      <w:proofErr w:type="spellEnd"/>
      <w:r w:rsidRPr="00616C3F">
        <w:rPr>
          <w:rFonts w:ascii="Times New Roman" w:eastAsia="Times New Roman" w:hAnsi="Times New Roman" w:cs="Times New Roman"/>
          <w:i/>
          <w:iCs/>
          <w:color w:val="000000"/>
          <w:kern w:val="0"/>
          <w:lang w:val="es-ES" w:eastAsia="es-ES_tradnl"/>
          <w14:ligatures w14:val="none"/>
        </w:rPr>
        <w:t>.</w:t>
      </w:r>
    </w:p>
    <w:p w14:paraId="36867E6A"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En ese sentido y a los fines de verificar la improcedencia o no de la medida cautelar de suspensión de efectos, esta Alzada considera pertinente traer a colación el contenido del artículo 290 del Código Orgánico Tributario de 2020, aplicable </w:t>
      </w:r>
      <w:proofErr w:type="spellStart"/>
      <w:r w:rsidRPr="00616C3F">
        <w:rPr>
          <w:rFonts w:ascii="Times New Roman" w:eastAsia="Times New Roman" w:hAnsi="Times New Roman" w:cs="Times New Roman"/>
          <w:i/>
          <w:iCs/>
          <w:color w:val="000000"/>
          <w:kern w:val="0"/>
          <w:lang w:val="es-ES" w:eastAsia="es-ES_tradnl"/>
          <w14:ligatures w14:val="none"/>
        </w:rPr>
        <w:t>ratione</w:t>
      </w:r>
      <w:proofErr w:type="spellEnd"/>
      <w:r w:rsidRPr="00616C3F">
        <w:rPr>
          <w:rFonts w:ascii="Times New Roman" w:eastAsia="Times New Roman" w:hAnsi="Times New Roman" w:cs="Times New Roman"/>
          <w:i/>
          <w:iCs/>
          <w:color w:val="000000"/>
          <w:kern w:val="0"/>
          <w:lang w:val="es-ES" w:eastAsia="es-ES_tradnl"/>
          <w14:ligatures w14:val="none"/>
        </w:rPr>
        <w:t xml:space="preserve"> </w:t>
      </w:r>
      <w:proofErr w:type="spellStart"/>
      <w:r w:rsidRPr="00616C3F">
        <w:rPr>
          <w:rFonts w:ascii="Times New Roman" w:eastAsia="Times New Roman" w:hAnsi="Times New Roman" w:cs="Times New Roman"/>
          <w:i/>
          <w:iCs/>
          <w:color w:val="000000"/>
          <w:kern w:val="0"/>
          <w:lang w:val="es-ES" w:eastAsia="es-ES_tradnl"/>
          <w14:ligatures w14:val="none"/>
        </w:rPr>
        <w:t>temporis</w:t>
      </w:r>
      <w:proofErr w:type="spellEnd"/>
      <w:r w:rsidRPr="00616C3F">
        <w:rPr>
          <w:rFonts w:ascii="Times New Roman" w:eastAsia="Times New Roman" w:hAnsi="Times New Roman" w:cs="Times New Roman"/>
          <w:color w:val="000000"/>
          <w:kern w:val="0"/>
          <w:lang w:val="es-ES" w:eastAsia="es-ES_tradnl"/>
          <w14:ligatures w14:val="none"/>
        </w:rPr>
        <w:t>, que dispone:</w:t>
      </w:r>
      <w:r w:rsidRPr="00616C3F">
        <w:rPr>
          <w:rFonts w:ascii="Times New Roman" w:eastAsia="Times New Roman" w:hAnsi="Times New Roman" w:cs="Times New Roman"/>
          <w:color w:val="000000"/>
          <w:kern w:val="0"/>
          <w:lang w:val="es-VE" w:eastAsia="es-ES_tradnl"/>
          <w14:ligatures w14:val="none"/>
        </w:rPr>
        <w:t> </w:t>
      </w:r>
    </w:p>
    <w:p w14:paraId="60AC6E31" w14:textId="77777777" w:rsidR="00616C3F" w:rsidRPr="00616C3F" w:rsidRDefault="00616C3F" w:rsidP="00616C3F">
      <w:pPr>
        <w:spacing w:before="200" w:after="200"/>
        <w:ind w:left="1134" w:right="1134"/>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eastAsia="es-ES_tradnl"/>
          <w14:ligatures w14:val="none"/>
        </w:rPr>
        <w:t>“(…) </w:t>
      </w:r>
      <w:r w:rsidRPr="00616C3F">
        <w:rPr>
          <w:rFonts w:ascii="Times New Roman" w:eastAsia="Times New Roman" w:hAnsi="Times New Roman" w:cs="Times New Roman"/>
          <w:b/>
          <w:bCs/>
          <w:i/>
          <w:iCs/>
          <w:color w:val="000000"/>
          <w:kern w:val="0"/>
          <w:lang w:eastAsia="es-ES_tradnl"/>
          <w14:ligatures w14:val="none"/>
        </w:rPr>
        <w:t>Artículo 290</w:t>
      </w:r>
      <w:r w:rsidRPr="00616C3F">
        <w:rPr>
          <w:rFonts w:ascii="Times New Roman" w:eastAsia="Times New Roman" w:hAnsi="Times New Roman" w:cs="Times New Roman"/>
          <w:i/>
          <w:iCs/>
          <w:color w:val="000000"/>
          <w:kern w:val="0"/>
          <w:lang w:eastAsia="es-ES_tradnl"/>
          <w14:ligatures w14:val="none"/>
        </w:rPr>
        <w:t>.-La interposición del recurso no suspende los efectos del acto impugnado; sin embargo, a instancia de parte, el tribunal podrá suspender parcial o totalmente los efectos del acto recurrido, </w:t>
      </w:r>
      <w:r w:rsidRPr="00616C3F">
        <w:rPr>
          <w:rFonts w:ascii="Times New Roman" w:eastAsia="Times New Roman" w:hAnsi="Times New Roman" w:cs="Times New Roman"/>
          <w:b/>
          <w:bCs/>
          <w:i/>
          <w:iCs/>
          <w:color w:val="000000"/>
          <w:kern w:val="0"/>
          <w:lang w:eastAsia="es-ES_tradnl"/>
          <w14:ligatures w14:val="none"/>
        </w:rPr>
        <w:t>en el caso que su ejecución pudiera causar graves perjuicios al interesado, o si la impugnación se fundamentare en la apariencia de buen derecho</w:t>
      </w:r>
      <w:r w:rsidRPr="00616C3F">
        <w:rPr>
          <w:rFonts w:ascii="Times New Roman" w:eastAsia="Times New Roman" w:hAnsi="Times New Roman" w:cs="Times New Roman"/>
          <w:i/>
          <w:iCs/>
          <w:color w:val="000000"/>
          <w:kern w:val="0"/>
          <w:lang w:eastAsia="es-ES_tradnl"/>
          <w14:ligatures w14:val="none"/>
        </w:rPr>
        <w:t>. Contra la decisión que acuerde o niegue la suspensión total o parcial de los efectos del acto, procederá recurso de apelación, el cual será oído en el solo efecto devolutivo.</w:t>
      </w:r>
      <w:r w:rsidRPr="00616C3F">
        <w:rPr>
          <w:rFonts w:ascii="Times New Roman" w:eastAsia="Times New Roman" w:hAnsi="Times New Roman" w:cs="Times New Roman"/>
          <w:color w:val="000000"/>
          <w:kern w:val="0"/>
          <w:lang w:val="es-VE" w:eastAsia="es-ES_tradnl"/>
          <w14:ligatures w14:val="none"/>
        </w:rPr>
        <w:t> </w:t>
      </w:r>
    </w:p>
    <w:p w14:paraId="520C24CB" w14:textId="77777777" w:rsidR="00616C3F" w:rsidRPr="00616C3F" w:rsidRDefault="00616C3F" w:rsidP="00616C3F">
      <w:pPr>
        <w:spacing w:before="200" w:after="200"/>
        <w:ind w:left="1134" w:right="1134"/>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eastAsia="es-ES_tradnl"/>
          <w14:ligatures w14:val="none"/>
        </w:rPr>
        <w:lastRenderedPageBreak/>
        <w:t>La suspensión parcial de los efectos del acto recurrido no impide a la Administración Tributaria exigir el pago de la porción no suspendida ni objetada</w:t>
      </w:r>
      <w:r w:rsidRPr="00616C3F">
        <w:rPr>
          <w:rFonts w:ascii="Times New Roman" w:eastAsia="Times New Roman" w:hAnsi="Times New Roman" w:cs="Times New Roman"/>
          <w:color w:val="000000"/>
          <w:kern w:val="0"/>
          <w:lang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36EC552A" w14:textId="77777777" w:rsidR="00616C3F" w:rsidRPr="00616C3F" w:rsidRDefault="00616C3F" w:rsidP="00616C3F">
      <w:pPr>
        <w:spacing w:before="200" w:after="200"/>
        <w:ind w:left="1134" w:right="1134"/>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lang w:val="es-ES" w:eastAsia="es-ES_tradnl"/>
          <w14:ligatures w14:val="none"/>
        </w:rPr>
        <w:t>Parágrafo Primero</w:t>
      </w:r>
      <w:r w:rsidRPr="00616C3F">
        <w:rPr>
          <w:rFonts w:ascii="Times New Roman" w:eastAsia="Times New Roman" w:hAnsi="Times New Roman" w:cs="Times New Roman"/>
          <w:i/>
          <w:iCs/>
          <w:color w:val="000000"/>
          <w:kern w:val="0"/>
          <w:lang w:val="es-ES" w:eastAsia="es-ES_tradnl"/>
          <w14:ligatures w14:val="none"/>
        </w:rPr>
        <w:t>. La decisión del Tribunal que acuerde o niegue la suspensión de los efectos en vía judicial no prejuzga el fondo de la controversia.</w:t>
      </w:r>
      <w:r w:rsidRPr="00616C3F">
        <w:rPr>
          <w:rFonts w:ascii="Times New Roman" w:eastAsia="Times New Roman" w:hAnsi="Times New Roman" w:cs="Times New Roman"/>
          <w:color w:val="000000"/>
          <w:kern w:val="0"/>
          <w:lang w:val="es-VE" w:eastAsia="es-ES_tradnl"/>
          <w14:ligatures w14:val="none"/>
        </w:rPr>
        <w:t> </w:t>
      </w:r>
    </w:p>
    <w:p w14:paraId="238C08CC" w14:textId="77777777" w:rsidR="00616C3F" w:rsidRPr="00616C3F" w:rsidRDefault="00616C3F" w:rsidP="00616C3F">
      <w:pPr>
        <w:spacing w:before="200" w:after="200"/>
        <w:ind w:left="1134" w:right="1134"/>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lang w:val="es-ES" w:eastAsia="es-ES_tradnl"/>
          <w14:ligatures w14:val="none"/>
        </w:rPr>
        <w:t>Parágrafo Segundo</w:t>
      </w:r>
      <w:r w:rsidRPr="00616C3F">
        <w:rPr>
          <w:rFonts w:ascii="Times New Roman" w:eastAsia="Times New Roman" w:hAnsi="Times New Roman" w:cs="Times New Roman"/>
          <w:i/>
          <w:iCs/>
          <w:color w:val="000000"/>
          <w:kern w:val="0"/>
          <w:lang w:val="es-ES" w:eastAsia="es-ES_tradnl"/>
          <w14:ligatures w14:val="none"/>
        </w:rPr>
        <w:t>. A los efectos de lo previsto en este artículo, no se aplicará lo dispuesto en el artículo 547 del Código de Procedimiento Civil. </w:t>
      </w:r>
      <w:r w:rsidRPr="00616C3F">
        <w:rPr>
          <w:rFonts w:ascii="Times New Roman" w:eastAsia="Times New Roman" w:hAnsi="Times New Roman" w:cs="Times New Roman"/>
          <w:color w:val="000000"/>
          <w:kern w:val="0"/>
          <w:lang w:eastAsia="es-ES_tradnl"/>
          <w14:ligatures w14:val="none"/>
        </w:rPr>
        <w:t>(…)”. (Destacado de esta Sala).</w:t>
      </w:r>
      <w:r w:rsidRPr="00616C3F">
        <w:rPr>
          <w:rFonts w:ascii="Times New Roman" w:eastAsia="Times New Roman" w:hAnsi="Times New Roman" w:cs="Times New Roman"/>
          <w:color w:val="000000"/>
          <w:kern w:val="0"/>
          <w:lang w:val="es-VE" w:eastAsia="es-ES_tradnl"/>
          <w14:ligatures w14:val="none"/>
        </w:rPr>
        <w:t> </w:t>
      </w:r>
    </w:p>
    <w:p w14:paraId="4E3A3A19"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eastAsia="es-ES_tradnl"/>
          <w14:ligatures w14:val="none"/>
        </w:rPr>
        <w:t>L</w:t>
      </w:r>
      <w:r w:rsidRPr="00616C3F">
        <w:rPr>
          <w:rFonts w:ascii="Times New Roman" w:eastAsia="Times New Roman" w:hAnsi="Times New Roman" w:cs="Times New Roman"/>
          <w:color w:val="000000"/>
          <w:kern w:val="0"/>
          <w:lang w:val="es-ES" w:eastAsia="es-ES_tradnl"/>
          <w14:ligatures w14:val="none"/>
        </w:rPr>
        <w:t>a disposición antes transcrita, establece que la suspensión de efectos del acto recurrido en materia tributaria </w:t>
      </w:r>
      <w:r w:rsidRPr="00616C3F">
        <w:rPr>
          <w:rFonts w:ascii="Times New Roman" w:eastAsia="Times New Roman" w:hAnsi="Times New Roman" w:cs="Times New Roman"/>
          <w:color w:val="000000"/>
          <w:kern w:val="0"/>
          <w:shd w:val="clear" w:color="auto" w:fill="FFFF00"/>
          <w:lang w:val="es-ES" w:eastAsia="es-ES_tradnl"/>
          <w14:ligatures w14:val="none"/>
        </w:rPr>
        <w:t>no ocurre en forma automática con la interposición del recurso contencioso tributario,</w:t>
      </w:r>
      <w:r w:rsidRPr="00616C3F">
        <w:rPr>
          <w:rFonts w:ascii="Times New Roman" w:eastAsia="Times New Roman" w:hAnsi="Times New Roman" w:cs="Times New Roman"/>
          <w:color w:val="000000"/>
          <w:kern w:val="0"/>
          <w:lang w:val="es-ES" w:eastAsia="es-ES_tradnl"/>
          <w14:ligatures w14:val="none"/>
        </w:rPr>
        <w:t> sino que, por el contrario, </w:t>
      </w:r>
      <w:r w:rsidRPr="00616C3F">
        <w:rPr>
          <w:rFonts w:ascii="Times New Roman" w:eastAsia="Times New Roman" w:hAnsi="Times New Roman" w:cs="Times New Roman"/>
          <w:color w:val="000000"/>
          <w:kern w:val="0"/>
          <w:shd w:val="clear" w:color="auto" w:fill="FFFF00"/>
          <w:lang w:val="es-ES" w:eastAsia="es-ES_tradnl"/>
          <w14:ligatures w14:val="none"/>
        </w:rPr>
        <w:t>debe considerarse como una medida cautelar que el órgano jurisdiccional puede decretar a instancia de parte</w:t>
      </w:r>
      <w:r w:rsidRPr="00616C3F">
        <w:rPr>
          <w:rFonts w:ascii="Times New Roman" w:eastAsia="Times New Roman" w:hAnsi="Times New Roman" w:cs="Times New Roman"/>
          <w:color w:val="000000"/>
          <w:kern w:val="0"/>
          <w:lang w:val="es-ES" w:eastAsia="es-ES_tradnl"/>
          <w14:ligatures w14:val="none"/>
        </w:rPr>
        <w:t>. [</w:t>
      </w:r>
      <w:r w:rsidRPr="00616C3F">
        <w:rPr>
          <w:rFonts w:ascii="Times New Roman" w:eastAsia="Times New Roman" w:hAnsi="Times New Roman" w:cs="Times New Roman"/>
          <w:i/>
          <w:iCs/>
          <w:color w:val="000000"/>
          <w:kern w:val="0"/>
          <w:lang w:val="es-ES" w:eastAsia="es-ES_tradnl"/>
          <w14:ligatures w14:val="none"/>
        </w:rPr>
        <w:t>Vid.,</w:t>
      </w:r>
      <w:r w:rsidRPr="00616C3F">
        <w:rPr>
          <w:rFonts w:ascii="Times New Roman" w:eastAsia="Times New Roman" w:hAnsi="Times New Roman" w:cs="Times New Roman"/>
          <w:color w:val="000000"/>
          <w:kern w:val="0"/>
          <w:lang w:val="es-ES" w:eastAsia="es-ES_tradnl"/>
          <w14:ligatures w14:val="none"/>
        </w:rPr>
        <w:t xml:space="preserve"> sentencia </w:t>
      </w:r>
      <w:proofErr w:type="spellStart"/>
      <w:r w:rsidRPr="00616C3F">
        <w:rPr>
          <w:rFonts w:ascii="Times New Roman" w:eastAsia="Times New Roman" w:hAnsi="Times New Roman" w:cs="Times New Roman"/>
          <w:color w:val="000000"/>
          <w:kern w:val="0"/>
          <w:lang w:val="es-ES" w:eastAsia="es-ES_tradnl"/>
          <w14:ligatures w14:val="none"/>
        </w:rPr>
        <w:t>Nº</w:t>
      </w:r>
      <w:proofErr w:type="spellEnd"/>
      <w:r w:rsidRPr="00616C3F">
        <w:rPr>
          <w:rFonts w:ascii="Times New Roman" w:eastAsia="Times New Roman" w:hAnsi="Times New Roman" w:cs="Times New Roman"/>
          <w:color w:val="000000"/>
          <w:kern w:val="0"/>
          <w:lang w:val="es-ES" w:eastAsia="es-ES_tradnl"/>
          <w14:ligatures w14:val="none"/>
        </w:rPr>
        <w:t xml:space="preserve"> 00668</w:t>
      </w:r>
      <w:r w:rsidRPr="00616C3F">
        <w:rPr>
          <w:rFonts w:ascii="Times New Roman" w:eastAsia="Times New Roman" w:hAnsi="Times New Roman" w:cs="Times New Roman"/>
          <w:b/>
          <w:bCs/>
          <w:color w:val="000000"/>
          <w:kern w:val="0"/>
          <w:lang w:val="es-ES" w:eastAsia="es-ES_tradnl"/>
          <w14:ligatures w14:val="none"/>
        </w:rPr>
        <w:t> </w:t>
      </w:r>
      <w:r w:rsidRPr="00616C3F">
        <w:rPr>
          <w:rFonts w:ascii="Times New Roman" w:eastAsia="Times New Roman" w:hAnsi="Times New Roman" w:cs="Times New Roman"/>
          <w:color w:val="000000"/>
          <w:kern w:val="0"/>
          <w:lang w:val="es-ES" w:eastAsia="es-ES_tradnl"/>
          <w14:ligatures w14:val="none"/>
        </w:rPr>
        <w:t>de fecha 3 de noviembre de 2022, caso</w:t>
      </w:r>
      <w:r w:rsidRPr="00616C3F">
        <w:rPr>
          <w:rFonts w:ascii="Times New Roman" w:eastAsia="Times New Roman" w:hAnsi="Times New Roman" w:cs="Times New Roman"/>
          <w:i/>
          <w:iCs/>
          <w:color w:val="000000"/>
          <w:kern w:val="0"/>
          <w:lang w:val="es-ES" w:eastAsia="es-ES_tradnl"/>
          <w14:ligatures w14:val="none"/>
        </w:rPr>
        <w:t>: </w:t>
      </w:r>
      <w:r w:rsidRPr="00616C3F">
        <w:rPr>
          <w:rFonts w:ascii="Times New Roman" w:eastAsia="Times New Roman" w:hAnsi="Times New Roman" w:cs="Times New Roman"/>
          <w:i/>
          <w:iCs/>
          <w:color w:val="000000"/>
          <w:kern w:val="0"/>
          <w:lang w:val="es-VE" w:eastAsia="es-ES_tradnl"/>
          <w14:ligatures w14:val="none"/>
        </w:rPr>
        <w:t>Productos Siderúrgicos Mérida, C.A. </w:t>
      </w:r>
      <w:r w:rsidRPr="00616C3F">
        <w:rPr>
          <w:rFonts w:ascii="Times New Roman" w:eastAsia="Times New Roman" w:hAnsi="Times New Roman" w:cs="Times New Roman"/>
          <w:color w:val="000000"/>
          <w:kern w:val="0"/>
          <w:lang w:val="es-VE" w:eastAsia="es-ES_tradnl"/>
          <w14:ligatures w14:val="none"/>
        </w:rPr>
        <w:t>(</w:t>
      </w:r>
      <w:r w:rsidRPr="00616C3F">
        <w:rPr>
          <w:rFonts w:ascii="Times New Roman" w:eastAsia="Times New Roman" w:hAnsi="Times New Roman" w:cs="Times New Roman"/>
          <w:i/>
          <w:iCs/>
          <w:color w:val="000000"/>
          <w:kern w:val="0"/>
          <w:lang w:val="es-VE" w:eastAsia="es-ES_tradnl"/>
          <w14:ligatures w14:val="none"/>
        </w:rPr>
        <w:t>PROSIMECA</w:t>
      </w:r>
      <w:r w:rsidRPr="00616C3F">
        <w:rPr>
          <w:rFonts w:ascii="Times New Roman" w:eastAsia="Times New Roman" w:hAnsi="Times New Roman" w:cs="Times New Roman"/>
          <w:color w:val="000000"/>
          <w:kern w:val="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2AD3AF91"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Asimismo, del citado </w:t>
      </w:r>
      <w:r w:rsidRPr="00616C3F">
        <w:rPr>
          <w:rFonts w:ascii="Times New Roman" w:eastAsia="Times New Roman" w:hAnsi="Times New Roman" w:cs="Times New Roman"/>
          <w:color w:val="000000"/>
          <w:kern w:val="0"/>
          <w:shd w:val="clear" w:color="auto" w:fill="FFFF00"/>
          <w:lang w:val="es-ES" w:eastAsia="es-ES_tradnl"/>
          <w14:ligatures w14:val="none"/>
        </w:rPr>
        <w:t>artículo 290 </w:t>
      </w:r>
      <w:proofErr w:type="spellStart"/>
      <w:r w:rsidRPr="00616C3F">
        <w:rPr>
          <w:rFonts w:ascii="Times New Roman" w:eastAsia="Times New Roman" w:hAnsi="Times New Roman" w:cs="Times New Roman"/>
          <w:i/>
          <w:iCs/>
          <w:color w:val="000000"/>
          <w:kern w:val="0"/>
          <w:shd w:val="clear" w:color="auto" w:fill="FFFF00"/>
          <w:lang w:val="es-ES" w:eastAsia="es-ES_tradnl"/>
          <w14:ligatures w14:val="none"/>
        </w:rPr>
        <w:t>eiusdem</w:t>
      </w:r>
      <w:proofErr w:type="spellEnd"/>
      <w:r w:rsidRPr="00616C3F">
        <w:rPr>
          <w:rFonts w:ascii="Times New Roman" w:eastAsia="Times New Roman" w:hAnsi="Times New Roman" w:cs="Times New Roman"/>
          <w:i/>
          <w:iCs/>
          <w:color w:val="000000"/>
          <w:kern w:val="0"/>
          <w:lang w:val="es-ES" w:eastAsia="es-ES_tradnl"/>
          <w14:ligatures w14:val="none"/>
        </w:rPr>
        <w:t> </w:t>
      </w:r>
      <w:r w:rsidRPr="00616C3F">
        <w:rPr>
          <w:rFonts w:ascii="Times New Roman" w:eastAsia="Times New Roman" w:hAnsi="Times New Roman" w:cs="Times New Roman"/>
          <w:color w:val="000000"/>
          <w:kern w:val="0"/>
          <w:lang w:val="es-ES" w:eastAsia="es-ES_tradnl"/>
          <w14:ligatures w14:val="none"/>
        </w:rPr>
        <w:t>se desprende que para la procedencia de la medida cautelar de suspensión de efectos deben cumplirse ciertas exigencias, que conforme al texto de la norma se refieren a “(…) </w:t>
      </w:r>
      <w:r w:rsidRPr="00616C3F">
        <w:rPr>
          <w:rFonts w:ascii="Times New Roman" w:eastAsia="Times New Roman" w:hAnsi="Times New Roman" w:cs="Times New Roman"/>
          <w:i/>
          <w:iCs/>
          <w:color w:val="000000"/>
          <w:kern w:val="0"/>
          <w:shd w:val="clear" w:color="auto" w:fill="FFFF00"/>
          <w:lang w:val="es-ES" w:eastAsia="es-ES_tradnl"/>
          <w14:ligatures w14:val="none"/>
        </w:rPr>
        <w:t>que su ejecución pudiera causar graves perjuicios al interesado, o si la impugnación se fundamentare en la apariencia de buen derecho </w:t>
      </w:r>
      <w:r w:rsidRPr="00616C3F">
        <w:rPr>
          <w:rFonts w:ascii="Times New Roman" w:eastAsia="Times New Roman" w:hAnsi="Times New Roman" w:cs="Times New Roman"/>
          <w:color w:val="000000"/>
          <w:kern w:val="0"/>
          <w:shd w:val="clear" w:color="auto" w:fill="FFFF0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16032964"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 xml:space="preserve">De este modo, la interpretación literal del texto </w:t>
      </w:r>
      <w:proofErr w:type="gramStart"/>
      <w:r w:rsidRPr="00616C3F">
        <w:rPr>
          <w:rFonts w:ascii="Times New Roman" w:eastAsia="Times New Roman" w:hAnsi="Times New Roman" w:cs="Times New Roman"/>
          <w:color w:val="000000"/>
          <w:kern w:val="0"/>
          <w:lang w:val="es-ES" w:eastAsia="es-ES_tradnl"/>
          <w14:ligatures w14:val="none"/>
        </w:rPr>
        <w:t>transcrito,</w:t>
      </w:r>
      <w:proofErr w:type="gramEnd"/>
      <w:r w:rsidRPr="00616C3F">
        <w:rPr>
          <w:rFonts w:ascii="Times New Roman" w:eastAsia="Times New Roman" w:hAnsi="Times New Roman" w:cs="Times New Roman"/>
          <w:color w:val="000000"/>
          <w:kern w:val="0"/>
          <w:lang w:val="es-ES" w:eastAsia="es-ES_tradnl"/>
          <w14:ligatures w14:val="none"/>
        </w:rPr>
        <w:t xml:space="preserve"> permitiría afirmar la posibilidad de que los requisitos para decretar la medida cautelar en materia tributaria no sean concurrentes. Sin embargo, la Sala considera necesario advertir que las interpretaciones de los textos normativos deben realizarse con base en su comprensión integral y de forma sistemática con respecto a todo el ordenamiento jurídico. (</w:t>
      </w:r>
      <w:r w:rsidRPr="00616C3F">
        <w:rPr>
          <w:rFonts w:ascii="Times New Roman" w:eastAsia="Times New Roman" w:hAnsi="Times New Roman" w:cs="Times New Roman"/>
          <w:i/>
          <w:iCs/>
          <w:color w:val="000000"/>
          <w:kern w:val="0"/>
          <w:lang w:val="es-ES" w:eastAsia="es-ES_tradnl"/>
          <w14:ligatures w14:val="none"/>
        </w:rPr>
        <w:t>Vid.,</w:t>
      </w:r>
      <w:r w:rsidRPr="00616C3F">
        <w:rPr>
          <w:rFonts w:ascii="Times New Roman" w:eastAsia="Times New Roman" w:hAnsi="Times New Roman" w:cs="Times New Roman"/>
          <w:color w:val="000000"/>
          <w:kern w:val="0"/>
          <w:lang w:val="es-ES" w:eastAsia="es-ES_tradnl"/>
          <w14:ligatures w14:val="none"/>
        </w:rPr>
        <w:t xml:space="preserve"> sentencia </w:t>
      </w:r>
      <w:proofErr w:type="spellStart"/>
      <w:r w:rsidRPr="00616C3F">
        <w:rPr>
          <w:rFonts w:ascii="Times New Roman" w:eastAsia="Times New Roman" w:hAnsi="Times New Roman" w:cs="Times New Roman"/>
          <w:color w:val="000000"/>
          <w:kern w:val="0"/>
          <w:lang w:val="es-ES" w:eastAsia="es-ES_tradnl"/>
          <w14:ligatures w14:val="none"/>
        </w:rPr>
        <w:t>Nº</w:t>
      </w:r>
      <w:proofErr w:type="spellEnd"/>
      <w:r w:rsidRPr="00616C3F">
        <w:rPr>
          <w:rFonts w:ascii="Times New Roman" w:eastAsia="Times New Roman" w:hAnsi="Times New Roman" w:cs="Times New Roman"/>
          <w:color w:val="000000"/>
          <w:kern w:val="0"/>
          <w:lang w:val="es-ES" w:eastAsia="es-ES_tradnl"/>
          <w14:ligatures w14:val="none"/>
        </w:rPr>
        <w:t xml:space="preserve"> 00668</w:t>
      </w:r>
      <w:r w:rsidRPr="00616C3F">
        <w:rPr>
          <w:rFonts w:ascii="Times New Roman" w:eastAsia="Times New Roman" w:hAnsi="Times New Roman" w:cs="Times New Roman"/>
          <w:b/>
          <w:bCs/>
          <w:color w:val="000000"/>
          <w:kern w:val="0"/>
          <w:lang w:val="es-ES" w:eastAsia="es-ES_tradnl"/>
          <w14:ligatures w14:val="none"/>
        </w:rPr>
        <w:t> </w:t>
      </w:r>
      <w:r w:rsidRPr="00616C3F">
        <w:rPr>
          <w:rFonts w:ascii="Times New Roman" w:eastAsia="Times New Roman" w:hAnsi="Times New Roman" w:cs="Times New Roman"/>
          <w:color w:val="000000"/>
          <w:kern w:val="0"/>
          <w:lang w:val="es-ES" w:eastAsia="es-ES_tradnl"/>
          <w14:ligatures w14:val="none"/>
        </w:rPr>
        <w:t>de fecha 3 de noviembre de 2022, caso</w:t>
      </w:r>
      <w:r w:rsidRPr="00616C3F">
        <w:rPr>
          <w:rFonts w:ascii="Times New Roman" w:eastAsia="Times New Roman" w:hAnsi="Times New Roman" w:cs="Times New Roman"/>
          <w:i/>
          <w:iCs/>
          <w:color w:val="000000"/>
          <w:kern w:val="0"/>
          <w:lang w:val="es-ES" w:eastAsia="es-ES_tradnl"/>
          <w14:ligatures w14:val="none"/>
        </w:rPr>
        <w:t>: </w:t>
      </w:r>
      <w:r w:rsidRPr="00616C3F">
        <w:rPr>
          <w:rFonts w:ascii="Times New Roman" w:eastAsia="Times New Roman" w:hAnsi="Times New Roman" w:cs="Times New Roman"/>
          <w:i/>
          <w:iCs/>
          <w:color w:val="000000"/>
          <w:kern w:val="0"/>
          <w:lang w:val="es-VE" w:eastAsia="es-ES_tradnl"/>
          <w14:ligatures w14:val="none"/>
        </w:rPr>
        <w:t>Productos Siderúrgicos Mérida, C.A. PROSIMECA</w:t>
      </w:r>
      <w:r w:rsidRPr="00616C3F">
        <w:rPr>
          <w:rFonts w:ascii="Times New Roman" w:eastAsia="Times New Roman" w:hAnsi="Times New Roman" w:cs="Times New Roman"/>
          <w:color w:val="000000"/>
          <w:kern w:val="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1257A165"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Conforme a ello, reitera esta Superioridad una vez más, el criterio fijado en su sentencia Nro. 00607 de fecha 3 de junio de 2004, caso: </w:t>
      </w:r>
      <w:r w:rsidRPr="00616C3F">
        <w:rPr>
          <w:rFonts w:ascii="Times New Roman" w:eastAsia="Times New Roman" w:hAnsi="Times New Roman" w:cs="Times New Roman"/>
          <w:i/>
          <w:iCs/>
          <w:color w:val="000000"/>
          <w:kern w:val="0"/>
          <w:lang w:val="es-ES" w:eastAsia="es-ES_tradnl"/>
          <w14:ligatures w14:val="none"/>
        </w:rPr>
        <w:t xml:space="preserve">Deportes El </w:t>
      </w:r>
      <w:proofErr w:type="spellStart"/>
      <w:r w:rsidRPr="00616C3F">
        <w:rPr>
          <w:rFonts w:ascii="Times New Roman" w:eastAsia="Times New Roman" w:hAnsi="Times New Roman" w:cs="Times New Roman"/>
          <w:i/>
          <w:iCs/>
          <w:color w:val="000000"/>
          <w:kern w:val="0"/>
          <w:lang w:val="es-ES" w:eastAsia="es-ES_tradnl"/>
          <w14:ligatures w14:val="none"/>
        </w:rPr>
        <w:t>Marquéz</w:t>
      </w:r>
      <w:proofErr w:type="spellEnd"/>
      <w:r w:rsidRPr="00616C3F">
        <w:rPr>
          <w:rFonts w:ascii="Times New Roman" w:eastAsia="Times New Roman" w:hAnsi="Times New Roman" w:cs="Times New Roman"/>
          <w:i/>
          <w:iCs/>
          <w:color w:val="000000"/>
          <w:kern w:val="0"/>
          <w:lang w:val="es-ES" w:eastAsia="es-ES_tradnl"/>
          <w14:ligatures w14:val="none"/>
        </w:rPr>
        <w:t>, C.A.</w:t>
      </w:r>
      <w:r w:rsidRPr="00616C3F">
        <w:rPr>
          <w:rFonts w:ascii="Times New Roman" w:eastAsia="Times New Roman" w:hAnsi="Times New Roman" w:cs="Times New Roman"/>
          <w:color w:val="000000"/>
          <w:kern w:val="0"/>
          <w:lang w:val="es-ES" w:eastAsia="es-ES_tradnl"/>
          <w14:ligatures w14:val="none"/>
        </w:rPr>
        <w:t>, posteriormente asumido de forma pacífica en numerosos fallos, como el Nro. 00681 de fecha 10 de junio de 2015, caso: </w:t>
      </w:r>
      <w:proofErr w:type="spellStart"/>
      <w:r w:rsidRPr="00616C3F">
        <w:rPr>
          <w:rFonts w:ascii="Times New Roman" w:eastAsia="Times New Roman" w:hAnsi="Times New Roman" w:cs="Times New Roman"/>
          <w:i/>
          <w:iCs/>
          <w:color w:val="000000"/>
          <w:kern w:val="0"/>
          <w:lang w:eastAsia="es-ES_tradnl"/>
          <w14:ligatures w14:val="none"/>
        </w:rPr>
        <w:t>Diebold</w:t>
      </w:r>
      <w:proofErr w:type="spellEnd"/>
      <w:r w:rsidRPr="00616C3F">
        <w:rPr>
          <w:rFonts w:ascii="Times New Roman" w:eastAsia="Times New Roman" w:hAnsi="Times New Roman" w:cs="Times New Roman"/>
          <w:i/>
          <w:iCs/>
          <w:color w:val="000000"/>
          <w:kern w:val="0"/>
          <w:lang w:eastAsia="es-ES_tradnl"/>
          <w14:ligatures w14:val="none"/>
        </w:rPr>
        <w:t xml:space="preserve"> </w:t>
      </w:r>
      <w:proofErr w:type="spellStart"/>
      <w:r w:rsidRPr="00616C3F">
        <w:rPr>
          <w:rFonts w:ascii="Times New Roman" w:eastAsia="Times New Roman" w:hAnsi="Times New Roman" w:cs="Times New Roman"/>
          <w:i/>
          <w:iCs/>
          <w:color w:val="000000"/>
          <w:kern w:val="0"/>
          <w:lang w:eastAsia="es-ES_tradnl"/>
          <w14:ligatures w14:val="none"/>
        </w:rPr>
        <w:t>Oltp</w:t>
      </w:r>
      <w:proofErr w:type="spellEnd"/>
      <w:r w:rsidRPr="00616C3F">
        <w:rPr>
          <w:rFonts w:ascii="Times New Roman" w:eastAsia="Times New Roman" w:hAnsi="Times New Roman" w:cs="Times New Roman"/>
          <w:i/>
          <w:iCs/>
          <w:color w:val="000000"/>
          <w:kern w:val="0"/>
          <w:lang w:eastAsia="es-ES_tradnl"/>
          <w14:ligatures w14:val="none"/>
        </w:rPr>
        <w:t xml:space="preserve"> </w:t>
      </w:r>
      <w:proofErr w:type="spellStart"/>
      <w:r w:rsidRPr="00616C3F">
        <w:rPr>
          <w:rFonts w:ascii="Times New Roman" w:eastAsia="Times New Roman" w:hAnsi="Times New Roman" w:cs="Times New Roman"/>
          <w:i/>
          <w:iCs/>
          <w:color w:val="000000"/>
          <w:kern w:val="0"/>
          <w:lang w:eastAsia="es-ES_tradnl"/>
          <w14:ligatures w14:val="none"/>
        </w:rPr>
        <w:t>System</w:t>
      </w:r>
      <w:proofErr w:type="spellEnd"/>
      <w:r w:rsidRPr="00616C3F">
        <w:rPr>
          <w:rFonts w:ascii="Times New Roman" w:eastAsia="Times New Roman" w:hAnsi="Times New Roman" w:cs="Times New Roman"/>
          <w:i/>
          <w:iCs/>
          <w:color w:val="000000"/>
          <w:kern w:val="0"/>
          <w:lang w:eastAsia="es-ES_tradnl"/>
          <w14:ligatures w14:val="none"/>
        </w:rPr>
        <w:t>, C.A.</w:t>
      </w:r>
      <w:r w:rsidRPr="00616C3F">
        <w:rPr>
          <w:rFonts w:ascii="Times New Roman" w:eastAsia="Times New Roman" w:hAnsi="Times New Roman" w:cs="Times New Roman"/>
          <w:color w:val="000000"/>
          <w:kern w:val="0"/>
          <w:lang w:eastAsia="es-ES_tradnl"/>
          <w14:ligatures w14:val="none"/>
        </w:rPr>
        <w:t>, </w:t>
      </w:r>
      <w:r w:rsidRPr="00616C3F">
        <w:rPr>
          <w:rFonts w:ascii="Times New Roman" w:eastAsia="Times New Roman" w:hAnsi="Times New Roman" w:cs="Times New Roman"/>
          <w:color w:val="000000"/>
          <w:kern w:val="0"/>
          <w:lang w:val="es-ES" w:eastAsia="es-ES_tradnl"/>
          <w14:ligatures w14:val="none"/>
        </w:rPr>
        <w:t>el cual indica lo siguiente:</w:t>
      </w:r>
      <w:r w:rsidRPr="00616C3F">
        <w:rPr>
          <w:rFonts w:ascii="Times New Roman" w:eastAsia="Times New Roman" w:hAnsi="Times New Roman" w:cs="Times New Roman"/>
          <w:color w:val="000000"/>
          <w:kern w:val="0"/>
          <w:lang w:val="es-VE" w:eastAsia="es-ES_tradnl"/>
          <w14:ligatures w14:val="none"/>
        </w:rPr>
        <w:t> </w:t>
      </w:r>
    </w:p>
    <w:p w14:paraId="46D75EC8" w14:textId="77777777" w:rsidR="00616C3F" w:rsidRPr="00616C3F" w:rsidRDefault="00616C3F" w:rsidP="00616C3F">
      <w:pPr>
        <w:ind w:left="1134" w:right="1134"/>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 </w:t>
      </w:r>
      <w:r w:rsidRPr="00616C3F">
        <w:rPr>
          <w:rFonts w:ascii="Times New Roman" w:eastAsia="Times New Roman" w:hAnsi="Times New Roman" w:cs="Times New Roman"/>
          <w:i/>
          <w:iCs/>
          <w:color w:val="000000"/>
          <w:kern w:val="0"/>
          <w:lang w:val="es-ES" w:eastAsia="es-ES_tradnl"/>
          <w14:ligatures w14:val="none"/>
        </w:rPr>
        <w:t xml:space="preserve">En el caso sub júdice, tenemos que el citado texto normativo que consagra la procedencia de la suspensión del acto administrativo </w:t>
      </w:r>
      <w:proofErr w:type="gramStart"/>
      <w:r w:rsidRPr="00616C3F">
        <w:rPr>
          <w:rFonts w:ascii="Times New Roman" w:eastAsia="Times New Roman" w:hAnsi="Times New Roman" w:cs="Times New Roman"/>
          <w:i/>
          <w:iCs/>
          <w:color w:val="000000"/>
          <w:kern w:val="0"/>
          <w:lang w:val="es-ES" w:eastAsia="es-ES_tradnl"/>
          <w14:ligatures w14:val="none"/>
        </w:rPr>
        <w:t>tributario,</w:t>
      </w:r>
      <w:proofErr w:type="gramEnd"/>
      <w:r w:rsidRPr="00616C3F">
        <w:rPr>
          <w:rFonts w:ascii="Times New Roman" w:eastAsia="Times New Roman" w:hAnsi="Times New Roman" w:cs="Times New Roman"/>
          <w:i/>
          <w:iCs/>
          <w:color w:val="000000"/>
          <w:kern w:val="0"/>
          <w:lang w:val="es-ES" w:eastAsia="es-ES_tradnl"/>
          <w14:ligatures w14:val="none"/>
        </w:rPr>
        <w:t xml:space="preserve"> consta de dos enunciados: a) que la ejecución del acto pudiera causar graves perjuicios al interesado; b) </w:t>
      </w:r>
      <w:r w:rsidRPr="00616C3F">
        <w:rPr>
          <w:rFonts w:ascii="Times New Roman" w:eastAsia="Times New Roman" w:hAnsi="Times New Roman" w:cs="Times New Roman"/>
          <w:i/>
          <w:iCs/>
          <w:color w:val="000000"/>
          <w:kern w:val="0"/>
          <w:lang w:val="es-ES" w:eastAsia="es-ES_tradnl"/>
          <w14:ligatures w14:val="none"/>
        </w:rPr>
        <w:lastRenderedPageBreak/>
        <w:t>que la impugnación se fundamentare en la apariencia de buen derecho.</w:t>
      </w:r>
      <w:r w:rsidRPr="00616C3F">
        <w:rPr>
          <w:rFonts w:ascii="Times New Roman" w:eastAsia="Times New Roman" w:hAnsi="Times New Roman" w:cs="Times New Roman"/>
          <w:color w:val="000000"/>
          <w:kern w:val="0"/>
          <w:lang w:val="es-VE" w:eastAsia="es-ES_tradnl"/>
          <w14:ligatures w14:val="none"/>
        </w:rPr>
        <w:t> </w:t>
      </w:r>
    </w:p>
    <w:p w14:paraId="4F5BF63F" w14:textId="77777777" w:rsidR="00616C3F" w:rsidRPr="00616C3F" w:rsidRDefault="00616C3F" w:rsidP="00616C3F">
      <w:pPr>
        <w:ind w:right="1134"/>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1602B5B1" w14:textId="77777777" w:rsidR="00616C3F" w:rsidRPr="00616C3F" w:rsidRDefault="00616C3F" w:rsidP="00616C3F">
      <w:pPr>
        <w:ind w:left="1134" w:right="1134"/>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shd w:val="clear" w:color="auto" w:fill="FFFF00"/>
          <w:lang w:val="es-ES" w:eastAsia="es-ES_tradnl"/>
          <w14:ligatures w14:val="none"/>
        </w:rPr>
        <w:t>Esta actividad preventiva de las medidas cautelares en el contencioso tributario, a diferencia de otros procesos,</w:t>
      </w:r>
      <w:r w:rsidRPr="00616C3F">
        <w:rPr>
          <w:rFonts w:ascii="Calibri" w:eastAsia="Times New Roman" w:hAnsi="Calibri" w:cs="Calibri"/>
          <w:color w:val="000000"/>
          <w:kern w:val="0"/>
          <w:sz w:val="22"/>
          <w:szCs w:val="22"/>
          <w:lang w:val="es-VE" w:eastAsia="es-ES_tradnl"/>
          <w14:ligatures w14:val="none"/>
        </w:rPr>
        <w:t> </w:t>
      </w:r>
      <w:r w:rsidRPr="00616C3F">
        <w:rPr>
          <w:rFonts w:ascii="Times New Roman" w:eastAsia="Times New Roman" w:hAnsi="Times New Roman" w:cs="Times New Roman"/>
          <w:b/>
          <w:bCs/>
          <w:i/>
          <w:iCs/>
          <w:color w:val="000000"/>
          <w:kern w:val="0"/>
          <w:lang w:val="es-ES" w:eastAsia="es-ES_tradnl"/>
          <w14:ligatures w14:val="none"/>
        </w:rPr>
        <w:t xml:space="preserve">no está dirigida a asegurar las consecuencias de la sentencia futura del proceso principal, por el retardo en el mismo, sino que, por el contrario, busca suspender los efectos de un acto administrativo cuya ejecución inmediata pueda causar daños graves, razón por la cual, en este caso, debe hablarse de peligro de daño o </w:t>
      </w:r>
      <w:proofErr w:type="spellStart"/>
      <w:r w:rsidRPr="00616C3F">
        <w:rPr>
          <w:rFonts w:ascii="Times New Roman" w:eastAsia="Times New Roman" w:hAnsi="Times New Roman" w:cs="Times New Roman"/>
          <w:b/>
          <w:bCs/>
          <w:i/>
          <w:iCs/>
          <w:color w:val="000000"/>
          <w:kern w:val="0"/>
          <w:lang w:val="es-ES" w:eastAsia="es-ES_tradnl"/>
          <w14:ligatures w14:val="none"/>
        </w:rPr>
        <w:t>periculum</w:t>
      </w:r>
      <w:proofErr w:type="spellEnd"/>
      <w:r w:rsidRPr="00616C3F">
        <w:rPr>
          <w:rFonts w:ascii="Times New Roman" w:eastAsia="Times New Roman" w:hAnsi="Times New Roman" w:cs="Times New Roman"/>
          <w:b/>
          <w:bCs/>
          <w:i/>
          <w:iCs/>
          <w:color w:val="000000"/>
          <w:kern w:val="0"/>
          <w:lang w:val="es-ES" w:eastAsia="es-ES_tradnl"/>
          <w14:ligatures w14:val="none"/>
        </w:rPr>
        <w:t xml:space="preserve"> in </w:t>
      </w:r>
      <w:proofErr w:type="spellStart"/>
      <w:r w:rsidRPr="00616C3F">
        <w:rPr>
          <w:rFonts w:ascii="Times New Roman" w:eastAsia="Times New Roman" w:hAnsi="Times New Roman" w:cs="Times New Roman"/>
          <w:b/>
          <w:bCs/>
          <w:i/>
          <w:iCs/>
          <w:color w:val="000000"/>
          <w:kern w:val="0"/>
          <w:lang w:val="es-ES" w:eastAsia="es-ES_tradnl"/>
          <w14:ligatures w14:val="none"/>
        </w:rPr>
        <w:t>damni</w:t>
      </w:r>
      <w:proofErr w:type="spellEnd"/>
      <w:r w:rsidRPr="00616C3F">
        <w:rPr>
          <w:rFonts w:ascii="Times New Roman" w:eastAsia="Times New Roman" w:hAnsi="Times New Roman" w:cs="Times New Roman"/>
          <w:b/>
          <w:bCs/>
          <w:i/>
          <w:iCs/>
          <w:color w:val="000000"/>
          <w:kern w:val="0"/>
          <w:lang w:val="es-ES" w:eastAsia="es-ES_tradnl"/>
          <w14:ligatures w14:val="none"/>
        </w:rPr>
        <w:t xml:space="preserve"> según denominación de algún sector de la doctrina. Vale decir, que el peligro aquí no se identifica porque quede ilusoria la ejecución de un futuro fallo, sino por la debida comprobación por parte del juez de que la ejecución inmediata del acto administrativo tributario pueda causar un daño grave e inminente al contribuyente.</w:t>
      </w:r>
      <w:r w:rsidRPr="00616C3F">
        <w:rPr>
          <w:rFonts w:ascii="Times New Roman" w:eastAsia="Times New Roman" w:hAnsi="Times New Roman" w:cs="Times New Roman"/>
          <w:color w:val="000000"/>
          <w:kern w:val="0"/>
          <w:lang w:val="es-VE" w:eastAsia="es-ES_tradnl"/>
          <w14:ligatures w14:val="none"/>
        </w:rPr>
        <w:t> </w:t>
      </w:r>
    </w:p>
    <w:p w14:paraId="010102DF" w14:textId="77777777" w:rsidR="00616C3F" w:rsidRPr="00616C3F" w:rsidRDefault="00616C3F" w:rsidP="00616C3F">
      <w:pPr>
        <w:ind w:left="1134" w:right="1134"/>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ES" w:eastAsia="es-ES_tradnl"/>
          <w14:ligatures w14:val="none"/>
        </w:rPr>
        <w:t xml:space="preserve">En cuanto a la exigencia del </w:t>
      </w:r>
      <w:proofErr w:type="spellStart"/>
      <w:r w:rsidRPr="00616C3F">
        <w:rPr>
          <w:rFonts w:ascii="Times New Roman" w:eastAsia="Times New Roman" w:hAnsi="Times New Roman" w:cs="Times New Roman"/>
          <w:i/>
          <w:iCs/>
          <w:color w:val="000000"/>
          <w:kern w:val="0"/>
          <w:lang w:val="es-ES" w:eastAsia="es-ES_tradnl"/>
          <w14:ligatures w14:val="none"/>
        </w:rPr>
        <w:t>fumus</w:t>
      </w:r>
      <w:proofErr w:type="spellEnd"/>
      <w:r w:rsidRPr="00616C3F">
        <w:rPr>
          <w:rFonts w:ascii="Times New Roman" w:eastAsia="Times New Roman" w:hAnsi="Times New Roman" w:cs="Times New Roman"/>
          <w:i/>
          <w:iCs/>
          <w:color w:val="000000"/>
          <w:kern w:val="0"/>
          <w:lang w:val="es-ES" w:eastAsia="es-ES_tradnl"/>
          <w14:ligatures w14:val="none"/>
        </w:rPr>
        <w:t xml:space="preserve"> </w:t>
      </w:r>
      <w:proofErr w:type="spellStart"/>
      <w:r w:rsidRPr="00616C3F">
        <w:rPr>
          <w:rFonts w:ascii="Times New Roman" w:eastAsia="Times New Roman" w:hAnsi="Times New Roman" w:cs="Times New Roman"/>
          <w:i/>
          <w:iCs/>
          <w:color w:val="000000"/>
          <w:kern w:val="0"/>
          <w:lang w:val="es-ES" w:eastAsia="es-ES_tradnl"/>
          <w14:ligatures w14:val="none"/>
        </w:rPr>
        <w:t>boni</w:t>
      </w:r>
      <w:proofErr w:type="spellEnd"/>
      <w:r w:rsidRPr="00616C3F">
        <w:rPr>
          <w:rFonts w:ascii="Times New Roman" w:eastAsia="Times New Roman" w:hAnsi="Times New Roman" w:cs="Times New Roman"/>
          <w:i/>
          <w:iCs/>
          <w:color w:val="000000"/>
          <w:kern w:val="0"/>
          <w:lang w:val="es-ES" w:eastAsia="es-ES_tradnl"/>
          <w14:ligatures w14:val="none"/>
        </w:rPr>
        <w:t xml:space="preserve"> iuris, es decir, de la probable existencia de un derecho, del cálculo o verosimilitud de que la pretensión principal será favorable al accionante, dicho requisito no puede derivar únicamente de la sola afirmación del accionante, sino que debe acreditarse en el expediente.</w:t>
      </w:r>
      <w:r w:rsidRPr="00616C3F">
        <w:rPr>
          <w:rFonts w:ascii="Times New Roman" w:eastAsia="Times New Roman" w:hAnsi="Times New Roman" w:cs="Times New Roman"/>
          <w:color w:val="000000"/>
          <w:kern w:val="0"/>
          <w:lang w:val="es-VE" w:eastAsia="es-ES_tradnl"/>
          <w14:ligatures w14:val="none"/>
        </w:rPr>
        <w:t> </w:t>
      </w:r>
    </w:p>
    <w:p w14:paraId="1ED7E800" w14:textId="77777777" w:rsidR="00616C3F" w:rsidRPr="00616C3F" w:rsidRDefault="00616C3F" w:rsidP="00616C3F">
      <w:pPr>
        <w:ind w:right="1134"/>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5BEC0A50" w14:textId="77777777" w:rsidR="00616C3F" w:rsidRPr="00616C3F" w:rsidRDefault="00616C3F" w:rsidP="00616C3F">
      <w:pPr>
        <w:ind w:left="1134" w:right="1134"/>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i/>
          <w:iCs/>
          <w:color w:val="000000"/>
          <w:kern w:val="0"/>
          <w:lang w:val="es-ES" w:eastAsia="es-ES_tradnl"/>
          <w14:ligatures w14:val="none"/>
        </w:rPr>
        <w:t>Así, tomando en consideración dicha circunstancia, la sola apariencia </w:t>
      </w:r>
      <w:r w:rsidRPr="00616C3F">
        <w:rPr>
          <w:rFonts w:ascii="Times New Roman" w:eastAsia="Times New Roman" w:hAnsi="Times New Roman" w:cs="Times New Roman"/>
          <w:b/>
          <w:bCs/>
          <w:i/>
          <w:iCs/>
          <w:color w:val="000000"/>
          <w:kern w:val="0"/>
          <w:lang w:val="es-ES" w:eastAsia="es-ES_tradnl"/>
          <w14:ligatures w14:val="none"/>
        </w:rPr>
        <w:t>del buen derecho no es suficiente para suspender el acto administrativo tributario; sino que además la ejecución del acto administrativo debe causar perjuicios al interesado, peligro este calificado por el legislador como grave. La apariencia del derecho y el peligro inminente de daño grave en los derechos e intereses del interesado sería lo que, en todo caso, justificaría la suspensión de los efectos del acto administrativo tributario</w:t>
      </w:r>
      <w:r w:rsidRPr="00616C3F">
        <w:rPr>
          <w:rFonts w:ascii="Times New Roman" w:eastAsia="Times New Roman" w:hAnsi="Times New Roman" w:cs="Times New Roman"/>
          <w:i/>
          <w:iCs/>
          <w:color w:val="000000"/>
          <w:kern w:val="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09547AE4" w14:textId="77777777" w:rsidR="00616C3F" w:rsidRPr="00616C3F" w:rsidRDefault="00616C3F" w:rsidP="00616C3F">
      <w:pPr>
        <w:ind w:left="1134" w:right="1134"/>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shd w:val="clear" w:color="auto" w:fill="FFFF00"/>
          <w:lang w:val="es-ES" w:eastAsia="es-ES_tradnl"/>
          <w14:ligatures w14:val="none"/>
        </w:rPr>
        <w:t xml:space="preserve">En cuanto a la posibilidad de acordar la suspensión de los efectos del acto administrativo tributario con la sola verificación del </w:t>
      </w:r>
      <w:proofErr w:type="spellStart"/>
      <w:r w:rsidRPr="00616C3F">
        <w:rPr>
          <w:rFonts w:ascii="Times New Roman" w:eastAsia="Times New Roman" w:hAnsi="Times New Roman" w:cs="Times New Roman"/>
          <w:b/>
          <w:bCs/>
          <w:i/>
          <w:iCs/>
          <w:color w:val="000000"/>
          <w:kern w:val="0"/>
          <w:shd w:val="clear" w:color="auto" w:fill="FFFF00"/>
          <w:lang w:val="es-ES" w:eastAsia="es-ES_tradnl"/>
          <w14:ligatures w14:val="none"/>
        </w:rPr>
        <w:t>periculum</w:t>
      </w:r>
      <w:proofErr w:type="spellEnd"/>
      <w:r w:rsidRPr="00616C3F">
        <w:rPr>
          <w:rFonts w:ascii="Times New Roman" w:eastAsia="Times New Roman" w:hAnsi="Times New Roman" w:cs="Times New Roman"/>
          <w:b/>
          <w:bCs/>
          <w:i/>
          <w:iCs/>
          <w:color w:val="000000"/>
          <w:kern w:val="0"/>
          <w:shd w:val="clear" w:color="auto" w:fill="FFFF00"/>
          <w:lang w:val="es-ES" w:eastAsia="es-ES_tradnl"/>
          <w14:ligatures w14:val="none"/>
        </w:rPr>
        <w:t xml:space="preserve"> in </w:t>
      </w:r>
      <w:proofErr w:type="spellStart"/>
      <w:r w:rsidRPr="00616C3F">
        <w:rPr>
          <w:rFonts w:ascii="Times New Roman" w:eastAsia="Times New Roman" w:hAnsi="Times New Roman" w:cs="Times New Roman"/>
          <w:b/>
          <w:bCs/>
          <w:i/>
          <w:iCs/>
          <w:color w:val="000000"/>
          <w:kern w:val="0"/>
          <w:shd w:val="clear" w:color="auto" w:fill="FFFF00"/>
          <w:lang w:val="es-ES" w:eastAsia="es-ES_tradnl"/>
          <w14:ligatures w14:val="none"/>
        </w:rPr>
        <w:t>damni</w:t>
      </w:r>
      <w:proofErr w:type="spellEnd"/>
      <w:r w:rsidRPr="00616C3F">
        <w:rPr>
          <w:rFonts w:ascii="Times New Roman" w:eastAsia="Times New Roman" w:hAnsi="Times New Roman" w:cs="Times New Roman"/>
          <w:b/>
          <w:bCs/>
          <w:i/>
          <w:iCs/>
          <w:color w:val="000000"/>
          <w:kern w:val="0"/>
          <w:lang w:val="es-ES" w:eastAsia="es-ES_tradnl"/>
          <w14:ligatures w14:val="none"/>
        </w:rPr>
        <w:t xml:space="preserve">, considera la Sala que tampoco puede aisladamente solicitarse y decretarse, en razón de que carece de sentido que un contribuyente que no tenga la apariencia o credibilidad de la existencia de un buen </w:t>
      </w:r>
      <w:proofErr w:type="gramStart"/>
      <w:r w:rsidRPr="00616C3F">
        <w:rPr>
          <w:rFonts w:ascii="Times New Roman" w:eastAsia="Times New Roman" w:hAnsi="Times New Roman" w:cs="Times New Roman"/>
          <w:b/>
          <w:bCs/>
          <w:i/>
          <w:iCs/>
          <w:color w:val="000000"/>
          <w:kern w:val="0"/>
          <w:lang w:val="es-ES" w:eastAsia="es-ES_tradnl"/>
          <w14:ligatures w14:val="none"/>
        </w:rPr>
        <w:t>derecho,</w:t>
      </w:r>
      <w:proofErr w:type="gramEnd"/>
      <w:r w:rsidRPr="00616C3F">
        <w:rPr>
          <w:rFonts w:ascii="Times New Roman" w:eastAsia="Times New Roman" w:hAnsi="Times New Roman" w:cs="Times New Roman"/>
          <w:b/>
          <w:bCs/>
          <w:i/>
          <w:iCs/>
          <w:color w:val="000000"/>
          <w:kern w:val="0"/>
          <w:lang w:val="es-ES" w:eastAsia="es-ES_tradnl"/>
          <w14:ligatures w14:val="none"/>
        </w:rPr>
        <w:t xml:space="preserve"> pueda alegar que se le está causando un daño grave.</w:t>
      </w:r>
      <w:r w:rsidRPr="00616C3F">
        <w:rPr>
          <w:rFonts w:ascii="Times New Roman" w:eastAsia="Times New Roman" w:hAnsi="Times New Roman" w:cs="Times New Roman"/>
          <w:color w:val="000000"/>
          <w:kern w:val="0"/>
          <w:lang w:val="es-VE" w:eastAsia="es-ES_tradnl"/>
          <w14:ligatures w14:val="none"/>
        </w:rPr>
        <w:t> </w:t>
      </w:r>
    </w:p>
    <w:p w14:paraId="08FB3434" w14:textId="77777777" w:rsidR="00616C3F" w:rsidRPr="00616C3F" w:rsidRDefault="00616C3F" w:rsidP="00616C3F">
      <w:pPr>
        <w:ind w:left="1134" w:right="1134"/>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i/>
          <w:iCs/>
          <w:color w:val="000000"/>
          <w:kern w:val="0"/>
          <w:lang w:val="es-ES" w:eastAsia="es-ES_tradnl"/>
          <w14:ligatures w14:val="none"/>
        </w:rPr>
        <w:t>Entonces, al haber quedado evidenciado que ambos enunciados constitutivos del texto legal, a saber</w:t>
      </w:r>
      <w:r w:rsidRPr="00616C3F">
        <w:rPr>
          <w:rFonts w:ascii="Times New Roman" w:eastAsia="Times New Roman" w:hAnsi="Times New Roman" w:cs="Times New Roman"/>
          <w:b/>
          <w:bCs/>
          <w:i/>
          <w:iCs/>
          <w:color w:val="000000"/>
          <w:kern w:val="0"/>
          <w:shd w:val="clear" w:color="auto" w:fill="FFFF00"/>
          <w:lang w:val="es-ES" w:eastAsia="es-ES_tradnl"/>
          <w14:ligatures w14:val="none"/>
        </w:rPr>
        <w:t xml:space="preserve">, </w:t>
      </w:r>
      <w:proofErr w:type="spellStart"/>
      <w:r w:rsidRPr="00616C3F">
        <w:rPr>
          <w:rFonts w:ascii="Times New Roman" w:eastAsia="Times New Roman" w:hAnsi="Times New Roman" w:cs="Times New Roman"/>
          <w:b/>
          <w:bCs/>
          <w:i/>
          <w:iCs/>
          <w:color w:val="000000"/>
          <w:kern w:val="0"/>
          <w:shd w:val="clear" w:color="auto" w:fill="FFFF00"/>
          <w:lang w:val="es-ES" w:eastAsia="es-ES_tradnl"/>
          <w14:ligatures w14:val="none"/>
        </w:rPr>
        <w:t>periculum</w:t>
      </w:r>
      <w:proofErr w:type="spellEnd"/>
      <w:r w:rsidRPr="00616C3F">
        <w:rPr>
          <w:rFonts w:ascii="Times New Roman" w:eastAsia="Times New Roman" w:hAnsi="Times New Roman" w:cs="Times New Roman"/>
          <w:b/>
          <w:bCs/>
          <w:i/>
          <w:iCs/>
          <w:color w:val="000000"/>
          <w:kern w:val="0"/>
          <w:shd w:val="clear" w:color="auto" w:fill="FFFF00"/>
          <w:lang w:val="es-ES" w:eastAsia="es-ES_tradnl"/>
          <w14:ligatures w14:val="none"/>
        </w:rPr>
        <w:t xml:space="preserve"> in </w:t>
      </w:r>
      <w:proofErr w:type="spellStart"/>
      <w:r w:rsidRPr="00616C3F">
        <w:rPr>
          <w:rFonts w:ascii="Times New Roman" w:eastAsia="Times New Roman" w:hAnsi="Times New Roman" w:cs="Times New Roman"/>
          <w:b/>
          <w:bCs/>
          <w:i/>
          <w:iCs/>
          <w:color w:val="000000"/>
          <w:kern w:val="0"/>
          <w:shd w:val="clear" w:color="auto" w:fill="FFFF00"/>
          <w:lang w:val="es-ES" w:eastAsia="es-ES_tradnl"/>
          <w14:ligatures w14:val="none"/>
        </w:rPr>
        <w:t>damni</w:t>
      </w:r>
      <w:proofErr w:type="spellEnd"/>
      <w:r w:rsidRPr="00616C3F">
        <w:rPr>
          <w:rFonts w:ascii="Times New Roman" w:eastAsia="Times New Roman" w:hAnsi="Times New Roman" w:cs="Times New Roman"/>
          <w:b/>
          <w:bCs/>
          <w:i/>
          <w:iCs/>
          <w:color w:val="000000"/>
          <w:kern w:val="0"/>
          <w:shd w:val="clear" w:color="auto" w:fill="FFFF00"/>
          <w:lang w:val="es-ES" w:eastAsia="es-ES_tradnl"/>
          <w14:ligatures w14:val="none"/>
        </w:rPr>
        <w:t xml:space="preserve"> y </w:t>
      </w:r>
      <w:proofErr w:type="spellStart"/>
      <w:r w:rsidRPr="00616C3F">
        <w:rPr>
          <w:rFonts w:ascii="Times New Roman" w:eastAsia="Times New Roman" w:hAnsi="Times New Roman" w:cs="Times New Roman"/>
          <w:b/>
          <w:bCs/>
          <w:i/>
          <w:iCs/>
          <w:color w:val="000000"/>
          <w:kern w:val="0"/>
          <w:shd w:val="clear" w:color="auto" w:fill="FFFF00"/>
          <w:lang w:val="es-ES" w:eastAsia="es-ES_tradnl"/>
          <w14:ligatures w14:val="none"/>
        </w:rPr>
        <w:t>fumus</w:t>
      </w:r>
      <w:proofErr w:type="spellEnd"/>
      <w:r w:rsidRPr="00616C3F">
        <w:rPr>
          <w:rFonts w:ascii="Times New Roman" w:eastAsia="Times New Roman" w:hAnsi="Times New Roman" w:cs="Times New Roman"/>
          <w:b/>
          <w:bCs/>
          <w:i/>
          <w:iCs/>
          <w:color w:val="000000"/>
          <w:kern w:val="0"/>
          <w:shd w:val="clear" w:color="auto" w:fill="FFFF00"/>
          <w:lang w:val="es-ES" w:eastAsia="es-ES_tradnl"/>
          <w14:ligatures w14:val="none"/>
        </w:rPr>
        <w:t xml:space="preserve"> </w:t>
      </w:r>
      <w:proofErr w:type="spellStart"/>
      <w:r w:rsidRPr="00616C3F">
        <w:rPr>
          <w:rFonts w:ascii="Times New Roman" w:eastAsia="Times New Roman" w:hAnsi="Times New Roman" w:cs="Times New Roman"/>
          <w:b/>
          <w:bCs/>
          <w:i/>
          <w:iCs/>
          <w:color w:val="000000"/>
          <w:kern w:val="0"/>
          <w:shd w:val="clear" w:color="auto" w:fill="FFFF00"/>
          <w:lang w:val="es-ES" w:eastAsia="es-ES_tradnl"/>
          <w14:ligatures w14:val="none"/>
        </w:rPr>
        <w:t>boni</w:t>
      </w:r>
      <w:proofErr w:type="spellEnd"/>
      <w:r w:rsidRPr="00616C3F">
        <w:rPr>
          <w:rFonts w:ascii="Times New Roman" w:eastAsia="Times New Roman" w:hAnsi="Times New Roman" w:cs="Times New Roman"/>
          <w:b/>
          <w:bCs/>
          <w:i/>
          <w:iCs/>
          <w:color w:val="000000"/>
          <w:kern w:val="0"/>
          <w:shd w:val="clear" w:color="auto" w:fill="FFFF00"/>
          <w:lang w:val="es-ES" w:eastAsia="es-ES_tradnl"/>
          <w14:ligatures w14:val="none"/>
        </w:rPr>
        <w:t xml:space="preserve"> iuris,</w:t>
      </w:r>
      <w:r w:rsidRPr="00616C3F">
        <w:rPr>
          <w:rFonts w:ascii="Times New Roman" w:eastAsia="Times New Roman" w:hAnsi="Times New Roman" w:cs="Times New Roman"/>
          <w:b/>
          <w:bCs/>
          <w:i/>
          <w:iCs/>
          <w:color w:val="000000"/>
          <w:kern w:val="0"/>
          <w:lang w:val="es-ES" w:eastAsia="es-ES_tradnl"/>
          <w14:ligatures w14:val="none"/>
        </w:rPr>
        <w:t xml:space="preserve"> no se dan en forma completa al analizarse por separado, conforme a lo explicado debe concluirse que ambos forman parte de una unidad, por lo cual no puede hablarse, en este caso, de disyunción en la proposición normativa sino de conjunción, ya que dichos enunciados o las partes que la conforman para ser válidos, esto es, verificarse en la realidad, deben verse en forma conjunta, y no sosteniendo que indistintamente la existencia de que cada uno, </w:t>
      </w:r>
      <w:r w:rsidRPr="00616C3F">
        <w:rPr>
          <w:rFonts w:ascii="Times New Roman" w:eastAsia="Times New Roman" w:hAnsi="Times New Roman" w:cs="Times New Roman"/>
          <w:b/>
          <w:bCs/>
          <w:i/>
          <w:iCs/>
          <w:color w:val="000000"/>
          <w:kern w:val="0"/>
          <w:lang w:val="es-ES" w:eastAsia="es-ES_tradnl"/>
          <w14:ligatures w14:val="none"/>
        </w:rPr>
        <w:lastRenderedPageBreak/>
        <w:t>por separado, es capaz de lograr la consecuencia jurídica del texto legal</w:t>
      </w:r>
      <w:r w:rsidRPr="00616C3F">
        <w:rPr>
          <w:rFonts w:ascii="Times New Roman" w:eastAsia="Times New Roman" w:hAnsi="Times New Roman" w:cs="Times New Roman"/>
          <w:color w:val="000000"/>
          <w:kern w:val="0"/>
          <w:lang w:val="es-ES" w:eastAsia="es-ES_tradnl"/>
          <w14:ligatures w14:val="none"/>
        </w:rPr>
        <w:t>”. (Destacados de la Sala).</w:t>
      </w:r>
      <w:r w:rsidRPr="00616C3F">
        <w:rPr>
          <w:rFonts w:ascii="Times New Roman" w:eastAsia="Times New Roman" w:hAnsi="Times New Roman" w:cs="Times New Roman"/>
          <w:color w:val="000000"/>
          <w:kern w:val="0"/>
          <w:lang w:val="es-VE" w:eastAsia="es-ES_tradnl"/>
          <w14:ligatures w14:val="none"/>
        </w:rPr>
        <w:t> </w:t>
      </w:r>
    </w:p>
    <w:p w14:paraId="280E6B49" w14:textId="77777777" w:rsidR="00616C3F" w:rsidRPr="00616C3F" w:rsidRDefault="00616C3F" w:rsidP="00616C3F">
      <w:pPr>
        <w:spacing w:before="240" w:after="24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Siguiendo el criterio sostenido por esta Máxima Instancia en la decisión arriba transcrita, se estima que las </w:t>
      </w:r>
      <w:r w:rsidRPr="00616C3F">
        <w:rPr>
          <w:rFonts w:ascii="Times New Roman" w:eastAsia="Times New Roman" w:hAnsi="Times New Roman" w:cs="Times New Roman"/>
          <w:color w:val="000000"/>
          <w:kern w:val="0"/>
          <w:shd w:val="clear" w:color="auto" w:fill="FFFF00"/>
          <w:lang w:val="es-ES" w:eastAsia="es-ES_tradnl"/>
          <w14:ligatures w14:val="none"/>
        </w:rPr>
        <w:t>exigencias enunciadas en el artículo 290 del Código Orgánico Tributario de 2020, no deben examinarse aisladamente, sino en forma conjunta,</w:t>
      </w:r>
      <w:r w:rsidRPr="00616C3F">
        <w:rPr>
          <w:rFonts w:ascii="Times New Roman" w:eastAsia="Times New Roman" w:hAnsi="Times New Roman" w:cs="Times New Roman"/>
          <w:color w:val="000000"/>
          <w:kern w:val="0"/>
          <w:lang w:val="es-ES" w:eastAsia="es-ES_tradnl"/>
          <w14:ligatures w14:val="none"/>
        </w:rPr>
        <w:t> por lo que la existencia de una sola de ellas no es capaz de lograr la suspensión de los efectos del acto impugnado, en razón de que mal podrían enervarse los efectos de un acto revestido de una presunción de legalidad y legitimidad, si no supone para el peticionante un perjuicio real de difícil o imposible reparación con la sentencia de fondo, o si aquél no posee respecto del acto en cuestión una situación jurídica positiva susceptible de protección en sede cautelar. [</w:t>
      </w:r>
      <w:r w:rsidRPr="00616C3F">
        <w:rPr>
          <w:rFonts w:ascii="Times New Roman" w:eastAsia="Times New Roman" w:hAnsi="Times New Roman" w:cs="Times New Roman"/>
          <w:i/>
          <w:iCs/>
          <w:color w:val="000000"/>
          <w:kern w:val="0"/>
          <w:lang w:val="es-ES" w:eastAsia="es-ES_tradnl"/>
          <w14:ligatures w14:val="none"/>
        </w:rPr>
        <w:t>Vid</w:t>
      </w:r>
      <w:r w:rsidRPr="00616C3F">
        <w:rPr>
          <w:rFonts w:ascii="Times New Roman" w:eastAsia="Times New Roman" w:hAnsi="Times New Roman" w:cs="Times New Roman"/>
          <w:color w:val="000000"/>
          <w:kern w:val="0"/>
          <w:lang w:val="es-ES" w:eastAsia="es-ES_tradnl"/>
          <w14:ligatures w14:val="none"/>
        </w:rPr>
        <w:t>., sentencia N° 00088 del 1° de febrero de 2018, caso: </w:t>
      </w:r>
      <w:r w:rsidRPr="00616C3F">
        <w:rPr>
          <w:rFonts w:ascii="Times New Roman" w:eastAsia="Times New Roman" w:hAnsi="Times New Roman" w:cs="Times New Roman"/>
          <w:i/>
          <w:iCs/>
          <w:color w:val="000000"/>
          <w:kern w:val="0"/>
          <w:lang w:val="es-ES" w:eastAsia="es-ES_tradnl"/>
          <w14:ligatures w14:val="none"/>
        </w:rPr>
        <w:t>Asociación de Maiceros y Ganaderos (</w:t>
      </w:r>
      <w:proofErr w:type="spellStart"/>
      <w:r w:rsidRPr="00616C3F">
        <w:rPr>
          <w:rFonts w:ascii="Times New Roman" w:eastAsia="Times New Roman" w:hAnsi="Times New Roman" w:cs="Times New Roman"/>
          <w:i/>
          <w:iCs/>
          <w:color w:val="000000"/>
          <w:kern w:val="0"/>
          <w:lang w:val="es-ES" w:eastAsia="es-ES_tradnl"/>
          <w14:ligatures w14:val="none"/>
        </w:rPr>
        <w:t>AMYGA</w:t>
      </w:r>
      <w:proofErr w:type="spellEnd"/>
      <w:r w:rsidRPr="00616C3F">
        <w:rPr>
          <w:rFonts w:ascii="Times New Roman" w:eastAsia="Times New Roman" w:hAnsi="Times New Roman" w:cs="Times New Roman"/>
          <w:i/>
          <w:iCs/>
          <w:color w:val="000000"/>
          <w:kern w:val="0"/>
          <w:lang w:val="es-ES" w:eastAsia="es-ES_tradnl"/>
          <w14:ligatures w14:val="none"/>
        </w:rPr>
        <w:t>)</w:t>
      </w:r>
      <w:r w:rsidRPr="00616C3F">
        <w:rPr>
          <w:rFonts w:ascii="Times New Roman" w:eastAsia="Times New Roman" w:hAnsi="Times New Roman" w:cs="Times New Roman"/>
          <w:color w:val="000000"/>
          <w:kern w:val="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4C36926E" w14:textId="77777777" w:rsidR="00616C3F" w:rsidRPr="00616C3F" w:rsidRDefault="00616C3F" w:rsidP="00616C3F">
      <w:pPr>
        <w:spacing w:before="240" w:after="24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eastAsia="es-ES_tradnl"/>
          <w14:ligatures w14:val="none"/>
        </w:rPr>
        <w:t>De allí que </w:t>
      </w:r>
      <w:r w:rsidRPr="00616C3F">
        <w:rPr>
          <w:rFonts w:ascii="Times New Roman" w:eastAsia="Times New Roman" w:hAnsi="Times New Roman" w:cs="Times New Roman"/>
          <w:color w:val="000000"/>
          <w:kern w:val="0"/>
          <w:shd w:val="clear" w:color="auto" w:fill="FFFF00"/>
          <w:lang w:eastAsia="es-ES_tradnl"/>
          <w14:ligatures w14:val="none"/>
        </w:rPr>
        <w:t>la medida preventiva de suspensión de efectos procede únicamente cuando se verifiquen concurrentemente los supuestos que la justifican,</w:t>
      </w:r>
      <w:r w:rsidRPr="00616C3F">
        <w:rPr>
          <w:rFonts w:ascii="Times New Roman" w:eastAsia="Times New Roman" w:hAnsi="Times New Roman" w:cs="Times New Roman"/>
          <w:color w:val="000000"/>
          <w:kern w:val="0"/>
          <w:lang w:eastAsia="es-ES_tradnl"/>
          <w14:ligatures w14:val="none"/>
        </w:rPr>
        <w:t> esto es, que la medida sea necesaria a los fines de evitar perjuicios irreparables o de difícil reparación y que adicionalmente resulte presumible que la pretensión procesal principal será favorable, a todo lo cual debe agregarse la adecuada ponderación del interés público involucrado, en el entendido que estas circunstancias deben haber sido debidamente acreditadas en autos.</w:t>
      </w:r>
      <w:r w:rsidRPr="00616C3F">
        <w:rPr>
          <w:rFonts w:ascii="Times New Roman" w:eastAsia="Times New Roman" w:hAnsi="Times New Roman" w:cs="Times New Roman"/>
          <w:color w:val="000000"/>
          <w:kern w:val="0"/>
          <w:lang w:val="es-VE" w:eastAsia="es-ES_tradnl"/>
          <w14:ligatures w14:val="none"/>
        </w:rPr>
        <w:t> </w:t>
      </w:r>
    </w:p>
    <w:p w14:paraId="649C67AA"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eastAsia="es-ES_tradnl"/>
          <w14:ligatures w14:val="none"/>
        </w:rPr>
        <w:t>Así pues, conforme a la citada norma y en acatamiento de la jurisprudencia reiterada de este Alto Tribunal (</w:t>
      </w:r>
      <w:r w:rsidRPr="00616C3F">
        <w:rPr>
          <w:rFonts w:ascii="Times New Roman" w:eastAsia="Times New Roman" w:hAnsi="Times New Roman" w:cs="Times New Roman"/>
          <w:i/>
          <w:iCs/>
          <w:color w:val="000000"/>
          <w:kern w:val="0"/>
          <w:lang w:eastAsia="es-ES_tradnl"/>
          <w14:ligatures w14:val="none"/>
        </w:rPr>
        <w:t>Vid.</w:t>
      </w:r>
      <w:r w:rsidRPr="00616C3F">
        <w:rPr>
          <w:rFonts w:ascii="Times New Roman" w:eastAsia="Times New Roman" w:hAnsi="Times New Roman" w:cs="Times New Roman"/>
          <w:color w:val="000000"/>
          <w:kern w:val="0"/>
          <w:lang w:eastAsia="es-ES_tradnl"/>
          <w14:ligatures w14:val="none"/>
        </w:rPr>
        <w:t>, sentencia </w:t>
      </w:r>
      <w:r w:rsidRPr="00616C3F">
        <w:rPr>
          <w:rFonts w:ascii="Times New Roman" w:eastAsia="Times New Roman" w:hAnsi="Times New Roman" w:cs="Times New Roman"/>
          <w:color w:val="000000"/>
          <w:kern w:val="0"/>
          <w:lang w:val="es-ES" w:eastAsia="es-ES_tradnl"/>
          <w14:ligatures w14:val="none"/>
        </w:rPr>
        <w:t>N° 00629 del 3 de junio de 2015, caso: </w:t>
      </w:r>
      <w:r w:rsidRPr="00616C3F">
        <w:rPr>
          <w:rFonts w:ascii="Times New Roman" w:eastAsia="Times New Roman" w:hAnsi="Times New Roman" w:cs="Times New Roman"/>
          <w:i/>
          <w:iCs/>
          <w:color w:val="000000"/>
          <w:kern w:val="0"/>
          <w:lang w:val="es-ES" w:eastAsia="es-ES_tradnl"/>
          <w14:ligatures w14:val="none"/>
        </w:rPr>
        <w:t>Desarrollo de Soluciones Específicas, C.A. DESCA</w:t>
      </w:r>
      <w:r w:rsidRPr="00616C3F">
        <w:rPr>
          <w:rFonts w:ascii="Times New Roman" w:eastAsia="Times New Roman" w:hAnsi="Times New Roman" w:cs="Times New Roman"/>
          <w:color w:val="000000"/>
          <w:kern w:val="0"/>
          <w:lang w:val="es-ES" w:eastAsia="es-ES_tradnl"/>
          <w14:ligatures w14:val="none"/>
        </w:rPr>
        <w:t>, entre otras)</w:t>
      </w:r>
      <w:r w:rsidRPr="00616C3F">
        <w:rPr>
          <w:rFonts w:ascii="Times New Roman" w:eastAsia="Times New Roman" w:hAnsi="Times New Roman" w:cs="Times New Roman"/>
          <w:color w:val="000000"/>
          <w:kern w:val="0"/>
          <w:lang w:eastAsia="es-ES_tradnl"/>
          <w14:ligatures w14:val="none"/>
        </w:rPr>
        <w:t>, en el caso bajo estudio </w:t>
      </w:r>
      <w:r w:rsidRPr="00616C3F">
        <w:rPr>
          <w:rFonts w:ascii="Times New Roman" w:eastAsia="Times New Roman" w:hAnsi="Times New Roman" w:cs="Times New Roman"/>
          <w:color w:val="000000"/>
          <w:kern w:val="0"/>
          <w:shd w:val="clear" w:color="auto" w:fill="FFFF00"/>
          <w:lang w:eastAsia="es-ES_tradnl"/>
          <w14:ligatures w14:val="none"/>
        </w:rPr>
        <w:t>la medida preventiva de suspensión de efectos procede únicamente cuando se verifiquen concurrentemente los supuestos que la justifican,</w:t>
      </w:r>
      <w:r w:rsidRPr="00616C3F">
        <w:rPr>
          <w:rFonts w:ascii="Times New Roman" w:eastAsia="Times New Roman" w:hAnsi="Times New Roman" w:cs="Times New Roman"/>
          <w:color w:val="000000"/>
          <w:kern w:val="0"/>
          <w:lang w:eastAsia="es-ES_tradnl"/>
          <w14:ligatures w14:val="none"/>
        </w:rPr>
        <w:t> </w:t>
      </w:r>
      <w:r w:rsidRPr="00616C3F">
        <w:rPr>
          <w:rFonts w:ascii="Times New Roman" w:eastAsia="Times New Roman" w:hAnsi="Times New Roman" w:cs="Times New Roman"/>
          <w:color w:val="000000"/>
          <w:kern w:val="0"/>
          <w:shd w:val="clear" w:color="auto" w:fill="FFFF00"/>
          <w:lang w:eastAsia="es-ES_tradnl"/>
          <w14:ligatures w14:val="none"/>
        </w:rPr>
        <w:t>como lo son la necesidad de la medida a los fines de evitar perjuicios irreparables o de difícil reparación y, adicionalmente, que exista la presunción de que la pretensión procesal principal resultaría favorable</w:t>
      </w:r>
      <w:r w:rsidRPr="00616C3F">
        <w:rPr>
          <w:rFonts w:ascii="Times New Roman" w:eastAsia="Times New Roman" w:hAnsi="Times New Roman" w:cs="Times New Roman"/>
          <w:color w:val="000000"/>
          <w:kern w:val="0"/>
          <w:lang w:eastAsia="es-ES_tradnl"/>
          <w14:ligatures w14:val="none"/>
        </w:rPr>
        <w:t>, a lo cual debe agregarse la adecuada ponderación por parte del interés público involucrado</w:t>
      </w:r>
      <w:r w:rsidRPr="00616C3F">
        <w:rPr>
          <w:rFonts w:ascii="Times New Roman" w:eastAsia="Times New Roman" w:hAnsi="Times New Roman" w:cs="Times New Roman"/>
          <w:color w:val="000000"/>
          <w:kern w:val="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5F41DF90"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eastAsia="es-ES_tradnl"/>
          <w14:ligatures w14:val="none"/>
        </w:rPr>
        <w:t>En efecto, </w:t>
      </w:r>
      <w:r w:rsidRPr="00616C3F">
        <w:rPr>
          <w:rFonts w:ascii="Times New Roman" w:eastAsia="Times New Roman" w:hAnsi="Times New Roman" w:cs="Times New Roman"/>
          <w:color w:val="000000"/>
          <w:kern w:val="0"/>
          <w:lang w:val="es-ES" w:eastAsia="es-ES_tradnl"/>
          <w14:ligatures w14:val="none"/>
        </w:rPr>
        <w:t>para acordar una medida cautelar, el Juez debe fundamentar su decisión en la argumentación y acreditación de hechos concretos de los cuales nazca la presunción de un posible daño para la parte recurrente y no sólo en un simple alegato de perjuicio. (</w:t>
      </w:r>
      <w:r w:rsidRPr="00616C3F">
        <w:rPr>
          <w:rFonts w:ascii="Times New Roman" w:eastAsia="Times New Roman" w:hAnsi="Times New Roman" w:cs="Times New Roman"/>
          <w:i/>
          <w:iCs/>
          <w:color w:val="000000"/>
          <w:kern w:val="0"/>
          <w:lang w:val="es-ES" w:eastAsia="es-ES_tradnl"/>
          <w14:ligatures w14:val="none"/>
        </w:rPr>
        <w:t>Vid.</w:t>
      </w:r>
      <w:r w:rsidRPr="00616C3F">
        <w:rPr>
          <w:rFonts w:ascii="Times New Roman" w:eastAsia="Times New Roman" w:hAnsi="Times New Roman" w:cs="Times New Roman"/>
          <w:color w:val="000000"/>
          <w:kern w:val="0"/>
          <w:lang w:val="es-ES" w:eastAsia="es-ES_tradnl"/>
          <w14:ligatures w14:val="none"/>
        </w:rPr>
        <w:t xml:space="preserve">, entre otras, sentencias de esta Sala </w:t>
      </w:r>
      <w:proofErr w:type="spellStart"/>
      <w:r w:rsidRPr="00616C3F">
        <w:rPr>
          <w:rFonts w:ascii="Times New Roman" w:eastAsia="Times New Roman" w:hAnsi="Times New Roman" w:cs="Times New Roman"/>
          <w:color w:val="000000"/>
          <w:kern w:val="0"/>
          <w:lang w:val="es-ES" w:eastAsia="es-ES_tradnl"/>
          <w14:ligatures w14:val="none"/>
        </w:rPr>
        <w:t>Nros</w:t>
      </w:r>
      <w:proofErr w:type="spellEnd"/>
      <w:r w:rsidRPr="00616C3F">
        <w:rPr>
          <w:rFonts w:ascii="Times New Roman" w:eastAsia="Times New Roman" w:hAnsi="Times New Roman" w:cs="Times New Roman"/>
          <w:color w:val="000000"/>
          <w:kern w:val="0"/>
          <w:lang w:val="es-ES" w:eastAsia="es-ES_tradnl"/>
          <w14:ligatures w14:val="none"/>
        </w:rPr>
        <w:t>. 00170 y 01782</w:t>
      </w:r>
      <w:r w:rsidRPr="00616C3F">
        <w:rPr>
          <w:rFonts w:ascii="Times New Roman" w:eastAsia="Times New Roman" w:hAnsi="Times New Roman" w:cs="Times New Roman"/>
          <w:b/>
          <w:bCs/>
          <w:color w:val="000000"/>
          <w:kern w:val="0"/>
          <w:lang w:val="es-ES" w:eastAsia="es-ES_tradnl"/>
          <w14:ligatures w14:val="none"/>
        </w:rPr>
        <w:t> </w:t>
      </w:r>
      <w:r w:rsidRPr="00616C3F">
        <w:rPr>
          <w:rFonts w:ascii="Times New Roman" w:eastAsia="Times New Roman" w:hAnsi="Times New Roman" w:cs="Times New Roman"/>
          <w:color w:val="000000"/>
          <w:kern w:val="0"/>
          <w:lang w:val="es-ES" w:eastAsia="es-ES_tradnl"/>
          <w14:ligatures w14:val="none"/>
        </w:rPr>
        <w:t>del 9 de febrero y 15 de diciembre de 2011, casos: </w:t>
      </w:r>
      <w:r w:rsidRPr="00616C3F">
        <w:rPr>
          <w:rFonts w:ascii="Times New Roman" w:eastAsia="Times New Roman" w:hAnsi="Times New Roman" w:cs="Times New Roman"/>
          <w:i/>
          <w:iCs/>
          <w:color w:val="000000"/>
          <w:kern w:val="0"/>
          <w:lang w:val="es-ES" w:eastAsia="es-ES_tradnl"/>
          <w14:ligatures w14:val="none"/>
        </w:rPr>
        <w:t>Radio Victoria, C.A. </w:t>
      </w:r>
      <w:r w:rsidRPr="00616C3F">
        <w:rPr>
          <w:rFonts w:ascii="Times New Roman" w:eastAsia="Times New Roman" w:hAnsi="Times New Roman" w:cs="Times New Roman"/>
          <w:color w:val="000000"/>
          <w:kern w:val="0"/>
          <w:lang w:val="es-ES" w:eastAsia="es-ES_tradnl"/>
          <w14:ligatures w14:val="none"/>
        </w:rPr>
        <w:t>y </w:t>
      </w:r>
      <w:r w:rsidRPr="00616C3F">
        <w:rPr>
          <w:rFonts w:ascii="Times New Roman" w:eastAsia="Times New Roman" w:hAnsi="Times New Roman" w:cs="Times New Roman"/>
          <w:i/>
          <w:iCs/>
          <w:color w:val="000000"/>
          <w:kern w:val="0"/>
          <w:lang w:val="es-ES" w:eastAsia="es-ES_tradnl"/>
          <w14:ligatures w14:val="none"/>
        </w:rPr>
        <w:t>Globovisión Tele, C.A.</w:t>
      </w:r>
      <w:r w:rsidRPr="00616C3F">
        <w:rPr>
          <w:rFonts w:ascii="Times New Roman" w:eastAsia="Times New Roman" w:hAnsi="Times New Roman" w:cs="Times New Roman"/>
          <w:color w:val="000000"/>
          <w:kern w:val="0"/>
          <w:lang w:val="es-ES" w:eastAsia="es-ES_tradnl"/>
          <w14:ligatures w14:val="none"/>
        </w:rPr>
        <w:t>, respectivamente).</w:t>
      </w:r>
      <w:r w:rsidRPr="00616C3F">
        <w:rPr>
          <w:rFonts w:ascii="Times New Roman" w:eastAsia="Times New Roman" w:hAnsi="Times New Roman" w:cs="Times New Roman"/>
          <w:color w:val="000000"/>
          <w:kern w:val="0"/>
          <w:lang w:val="es-VE" w:eastAsia="es-ES_tradnl"/>
          <w14:ligatures w14:val="none"/>
        </w:rPr>
        <w:t> </w:t>
      </w:r>
    </w:p>
    <w:p w14:paraId="7D2A8C59"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Al respecto, se estima que la accionante con la finalidad de probar </w:t>
      </w:r>
      <w:r w:rsidRPr="00616C3F">
        <w:rPr>
          <w:rFonts w:ascii="Times New Roman" w:eastAsia="Times New Roman" w:hAnsi="Times New Roman" w:cs="Times New Roman"/>
          <w:color w:val="000000"/>
          <w:kern w:val="0"/>
          <w:shd w:val="clear" w:color="auto" w:fill="FFFF00"/>
          <w:lang w:val="es-ES" w:eastAsia="es-ES_tradnl"/>
          <w14:ligatures w14:val="none"/>
        </w:rPr>
        <w:t xml:space="preserve">que la ejecución del acto administrativo podría causar perjuicio en su patrimonio, debió haber promovido y </w:t>
      </w:r>
      <w:r w:rsidRPr="00616C3F">
        <w:rPr>
          <w:rFonts w:ascii="Times New Roman" w:eastAsia="Times New Roman" w:hAnsi="Times New Roman" w:cs="Times New Roman"/>
          <w:color w:val="000000"/>
          <w:kern w:val="0"/>
          <w:shd w:val="clear" w:color="auto" w:fill="FFFF00"/>
          <w:lang w:val="es-ES" w:eastAsia="es-ES_tradnl"/>
          <w14:ligatures w14:val="none"/>
        </w:rPr>
        <w:lastRenderedPageBreak/>
        <w:t>evacuado medios probatorios idóneos para demostrar la veracidad de sus argumentos, tales como una experticia contable, informes de auditorías, balances de los años fiscalizados, etc</w:t>
      </w:r>
      <w:r w:rsidRPr="00616C3F">
        <w:rPr>
          <w:rFonts w:ascii="Times New Roman" w:eastAsia="Times New Roman" w:hAnsi="Times New Roman" w:cs="Times New Roman"/>
          <w:color w:val="000000"/>
          <w:kern w:val="0"/>
          <w:lang w:val="es-ES" w:eastAsia="es-ES_tradnl"/>
          <w14:ligatures w14:val="none"/>
        </w:rPr>
        <w:t>., y sin embargo, no lo hizo a pesar de contar con la oportunidad legal para llevarlo a cabo tanto en sede administrativa como judicial, de lo cual se advierte una deficiencia probatoria, toda vez que no quedó probado en ningún momento que con la ejecución de la </w:t>
      </w:r>
      <w:r w:rsidRPr="00616C3F">
        <w:rPr>
          <w:rFonts w:ascii="Times New Roman" w:eastAsia="Times New Roman" w:hAnsi="Times New Roman" w:cs="Times New Roman"/>
          <w:i/>
          <w:iCs/>
          <w:color w:val="000000"/>
          <w:kern w:val="0"/>
          <w:lang w:val="es-ES" w:eastAsia="es-ES_tradnl"/>
          <w14:ligatures w14:val="none"/>
        </w:rPr>
        <w:t>Resolución </w:t>
      </w:r>
      <w:r w:rsidRPr="00616C3F">
        <w:rPr>
          <w:rFonts w:ascii="Times New Roman" w:eastAsia="Times New Roman" w:hAnsi="Times New Roman" w:cs="Times New Roman"/>
          <w:color w:val="000000"/>
          <w:kern w:val="0"/>
          <w:lang w:val="es-ES" w:eastAsia="es-ES_tradnl"/>
          <w14:ligatures w14:val="none"/>
        </w:rPr>
        <w:t>impugnada, se le pudiese causar un posible daño patrimonial irreparable a la recurrente. (</w:t>
      </w:r>
      <w:r w:rsidRPr="00616C3F">
        <w:rPr>
          <w:rFonts w:ascii="Times New Roman" w:eastAsia="Times New Roman" w:hAnsi="Times New Roman" w:cs="Times New Roman"/>
          <w:i/>
          <w:iCs/>
          <w:color w:val="000000"/>
          <w:kern w:val="0"/>
          <w:lang w:val="es-ES" w:eastAsia="es-ES_tradnl"/>
          <w14:ligatures w14:val="none"/>
        </w:rPr>
        <w:t>Vid.</w:t>
      </w:r>
      <w:r w:rsidRPr="00616C3F">
        <w:rPr>
          <w:rFonts w:ascii="Times New Roman" w:eastAsia="Times New Roman" w:hAnsi="Times New Roman" w:cs="Times New Roman"/>
          <w:color w:val="000000"/>
          <w:kern w:val="0"/>
          <w:lang w:val="es-ES" w:eastAsia="es-ES_tradnl"/>
          <w14:ligatures w14:val="none"/>
        </w:rPr>
        <w:t>, sentencia N° 00351 del 22 de junio de 2017, caso: </w:t>
      </w:r>
      <w:proofErr w:type="spellStart"/>
      <w:r w:rsidRPr="00616C3F">
        <w:rPr>
          <w:rFonts w:ascii="Times New Roman" w:eastAsia="Times New Roman" w:hAnsi="Times New Roman" w:cs="Times New Roman"/>
          <w:i/>
          <w:iCs/>
          <w:color w:val="000000"/>
          <w:kern w:val="0"/>
          <w:lang w:val="es-ES" w:eastAsia="es-ES_tradnl"/>
          <w14:ligatures w14:val="none"/>
        </w:rPr>
        <w:t>Wonke</w:t>
      </w:r>
      <w:proofErr w:type="spellEnd"/>
      <w:r w:rsidRPr="00616C3F">
        <w:rPr>
          <w:rFonts w:ascii="Times New Roman" w:eastAsia="Times New Roman" w:hAnsi="Times New Roman" w:cs="Times New Roman"/>
          <w:i/>
          <w:iCs/>
          <w:color w:val="000000"/>
          <w:kern w:val="0"/>
          <w:lang w:val="es-ES" w:eastAsia="es-ES_tradnl"/>
          <w14:ligatures w14:val="none"/>
        </w:rPr>
        <w:t xml:space="preserve"> Occidente</w:t>
      </w:r>
      <w:r w:rsidRPr="00616C3F">
        <w:rPr>
          <w:rFonts w:ascii="Times New Roman" w:eastAsia="Times New Roman" w:hAnsi="Times New Roman" w:cs="Times New Roman"/>
          <w:color w:val="000000"/>
          <w:kern w:val="0"/>
          <w:lang w:val="es-ES" w:eastAsia="es-ES_tradnl"/>
          <w14:ligatures w14:val="none"/>
        </w:rPr>
        <w:t>, </w:t>
      </w:r>
      <w:r w:rsidRPr="00616C3F">
        <w:rPr>
          <w:rFonts w:ascii="Times New Roman" w:eastAsia="Times New Roman" w:hAnsi="Times New Roman" w:cs="Times New Roman"/>
          <w:i/>
          <w:iCs/>
          <w:color w:val="000000"/>
          <w:kern w:val="0"/>
          <w:lang w:val="es-ES" w:eastAsia="es-ES_tradnl"/>
          <w14:ligatures w14:val="none"/>
        </w:rPr>
        <w:t>C.A.</w:t>
      </w:r>
      <w:r w:rsidRPr="00616C3F">
        <w:rPr>
          <w:rFonts w:ascii="Times New Roman" w:eastAsia="Times New Roman" w:hAnsi="Times New Roman" w:cs="Times New Roman"/>
          <w:color w:val="000000"/>
          <w:kern w:val="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645727E5"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En este mismo sentido, aprecia este Alto Tribunal que no se observa en autos probanzas que conduzcan a constatar los alegatos esgrimidos por la representación judicial del </w:t>
      </w:r>
      <w:r w:rsidRPr="00616C3F">
        <w:rPr>
          <w:rFonts w:ascii="Times New Roman" w:eastAsia="Times New Roman" w:hAnsi="Times New Roman" w:cs="Times New Roman"/>
          <w:color w:val="000000"/>
          <w:kern w:val="0"/>
          <w:lang w:val="es-VE" w:eastAsia="es-ES_tradnl"/>
          <w14:ligatures w14:val="none"/>
        </w:rPr>
        <w:t>fondo de comercio Distribuidora Bam Bam, F.P., </w:t>
      </w:r>
      <w:r w:rsidRPr="00616C3F">
        <w:rPr>
          <w:rFonts w:ascii="Times New Roman" w:eastAsia="Times New Roman" w:hAnsi="Times New Roman" w:cs="Times New Roman"/>
          <w:color w:val="000000"/>
          <w:kern w:val="0"/>
          <w:lang w:val="es-ES" w:eastAsia="es-ES_tradnl"/>
          <w14:ligatures w14:val="none"/>
        </w:rPr>
        <w:t>que pudieran ser adminiculadas con el documento constitutivo presentado para dar certeza y convicción, que demuestren lo alegado sobre la vulneración de los derechos constitucionales, así como de la presunción de un posible daño o perjuicio causado por el acto administrativo, en el presente caso, la Resolución de Imposición de Sanción N° </w:t>
      </w:r>
      <w:r w:rsidRPr="00616C3F">
        <w:rPr>
          <w:rFonts w:ascii="Times New Roman" w:eastAsia="Times New Roman" w:hAnsi="Times New Roman" w:cs="Times New Roman"/>
          <w:color w:val="000000"/>
          <w:kern w:val="0"/>
          <w:lang w:val="es-VE" w:eastAsia="es-ES_tradnl"/>
          <w14:ligatures w14:val="none"/>
        </w:rPr>
        <w:t>SNAT/INTI/GRTI/RLA/SS/AF/2021/IVA/ ISLR/00030/00041 de fecha 17 de febrero de 2021, notificada el 5 de marzo del mismo año</w:t>
      </w:r>
      <w:r w:rsidRPr="00616C3F">
        <w:rPr>
          <w:rFonts w:ascii="Times New Roman" w:eastAsia="Times New Roman" w:hAnsi="Times New Roman" w:cs="Times New Roman"/>
          <w:color w:val="000000"/>
          <w:kern w:val="0"/>
          <w:lang w:val="es-ES" w:eastAsia="es-ES_tradnl"/>
          <w14:ligatures w14:val="none"/>
        </w:rPr>
        <w:t>, emitida por el Jefe del Sector de Tributos Internos de la Región Los Andes, de la Gerencia Regional de Tributos Internos Región Los Andes del Servicio Nacional Integrado de Administración Aduanera y Tributaria</w:t>
      </w:r>
      <w:r w:rsidRPr="00616C3F">
        <w:rPr>
          <w:rFonts w:ascii="Times New Roman" w:eastAsia="Times New Roman" w:hAnsi="Times New Roman" w:cs="Times New Roman"/>
          <w:b/>
          <w:bCs/>
          <w:color w:val="000000"/>
          <w:kern w:val="0"/>
          <w:lang w:val="es-ES" w:eastAsia="es-ES_tradnl"/>
          <w14:ligatures w14:val="none"/>
        </w:rPr>
        <w:t> </w:t>
      </w:r>
      <w:r w:rsidRPr="00616C3F">
        <w:rPr>
          <w:rFonts w:ascii="Times New Roman" w:eastAsia="Times New Roman" w:hAnsi="Times New Roman" w:cs="Times New Roman"/>
          <w:color w:val="000000"/>
          <w:kern w:val="0"/>
          <w:lang w:val="es-ES" w:eastAsia="es-ES_tradnl"/>
          <w14:ligatures w14:val="none"/>
        </w:rPr>
        <w:t>(</w:t>
      </w:r>
      <w:proofErr w:type="spellStart"/>
      <w:r w:rsidRPr="00616C3F">
        <w:rPr>
          <w:rFonts w:ascii="Times New Roman" w:eastAsia="Times New Roman" w:hAnsi="Times New Roman" w:cs="Times New Roman"/>
          <w:color w:val="000000"/>
          <w:kern w:val="0"/>
          <w:lang w:val="es-ES" w:eastAsia="es-ES_tradnl"/>
          <w14:ligatures w14:val="none"/>
        </w:rPr>
        <w:t>SENIAT</w:t>
      </w:r>
      <w:proofErr w:type="spellEnd"/>
      <w:r w:rsidRPr="00616C3F">
        <w:rPr>
          <w:rFonts w:ascii="Times New Roman" w:eastAsia="Times New Roman" w:hAnsi="Times New Roman" w:cs="Times New Roman"/>
          <w:color w:val="000000"/>
          <w:kern w:val="0"/>
          <w:lang w:val="es-ES" w:eastAsia="es-ES_tradnl"/>
          <w14:ligatures w14:val="none"/>
        </w:rPr>
        <w:t>), que permitan concluir objetivamente sobre el cumplimiento del requisito relativo al </w:t>
      </w:r>
      <w:proofErr w:type="spellStart"/>
      <w:r w:rsidRPr="00616C3F">
        <w:rPr>
          <w:rFonts w:ascii="Times New Roman" w:eastAsia="Times New Roman" w:hAnsi="Times New Roman" w:cs="Times New Roman"/>
          <w:i/>
          <w:iCs/>
          <w:color w:val="000000"/>
          <w:kern w:val="0"/>
          <w:lang w:val="es-ES" w:eastAsia="es-ES_tradnl"/>
          <w14:ligatures w14:val="none"/>
        </w:rPr>
        <w:t>periculum</w:t>
      </w:r>
      <w:proofErr w:type="spellEnd"/>
      <w:r w:rsidRPr="00616C3F">
        <w:rPr>
          <w:rFonts w:ascii="Times New Roman" w:eastAsia="Times New Roman" w:hAnsi="Times New Roman" w:cs="Times New Roman"/>
          <w:i/>
          <w:iCs/>
          <w:color w:val="000000"/>
          <w:kern w:val="0"/>
          <w:lang w:val="es-ES" w:eastAsia="es-ES_tradnl"/>
          <w14:ligatures w14:val="none"/>
        </w:rPr>
        <w:t xml:space="preserve"> in </w:t>
      </w:r>
      <w:proofErr w:type="spellStart"/>
      <w:r w:rsidRPr="00616C3F">
        <w:rPr>
          <w:rFonts w:ascii="Times New Roman" w:eastAsia="Times New Roman" w:hAnsi="Times New Roman" w:cs="Times New Roman"/>
          <w:i/>
          <w:iCs/>
          <w:color w:val="000000"/>
          <w:kern w:val="0"/>
          <w:lang w:val="es-ES" w:eastAsia="es-ES_tradnl"/>
          <w14:ligatures w14:val="none"/>
        </w:rPr>
        <w:t>damni</w:t>
      </w:r>
      <w:proofErr w:type="spellEnd"/>
      <w:r w:rsidRPr="00616C3F">
        <w:rPr>
          <w:rFonts w:ascii="Times New Roman" w:eastAsia="Times New Roman" w:hAnsi="Times New Roman" w:cs="Times New Roman"/>
          <w:color w:val="000000"/>
          <w:kern w:val="0"/>
          <w:lang w:val="es-ES" w:eastAsia="es-ES_tradnl"/>
          <w14:ligatures w14:val="none"/>
        </w:rPr>
        <w:t>, por lo que esta Superioridad estima innecesario el análisis de los otros supuestos de procedencia relativo al </w:t>
      </w:r>
      <w:proofErr w:type="spellStart"/>
      <w:r w:rsidRPr="00616C3F">
        <w:rPr>
          <w:rFonts w:ascii="Times New Roman" w:eastAsia="Times New Roman" w:hAnsi="Times New Roman" w:cs="Times New Roman"/>
          <w:i/>
          <w:iCs/>
          <w:color w:val="000000"/>
          <w:kern w:val="0"/>
          <w:lang w:val="es-ES" w:eastAsia="es-ES_tradnl"/>
          <w14:ligatures w14:val="none"/>
        </w:rPr>
        <w:t>fumus</w:t>
      </w:r>
      <w:proofErr w:type="spellEnd"/>
      <w:r w:rsidRPr="00616C3F">
        <w:rPr>
          <w:rFonts w:ascii="Times New Roman" w:eastAsia="Times New Roman" w:hAnsi="Times New Roman" w:cs="Times New Roman"/>
          <w:i/>
          <w:iCs/>
          <w:color w:val="000000"/>
          <w:kern w:val="0"/>
          <w:lang w:val="es-ES" w:eastAsia="es-ES_tradnl"/>
          <w14:ligatures w14:val="none"/>
        </w:rPr>
        <w:t xml:space="preserve"> </w:t>
      </w:r>
      <w:proofErr w:type="spellStart"/>
      <w:r w:rsidRPr="00616C3F">
        <w:rPr>
          <w:rFonts w:ascii="Times New Roman" w:eastAsia="Times New Roman" w:hAnsi="Times New Roman" w:cs="Times New Roman"/>
          <w:i/>
          <w:iCs/>
          <w:color w:val="000000"/>
          <w:kern w:val="0"/>
          <w:lang w:val="es-ES" w:eastAsia="es-ES_tradnl"/>
          <w14:ligatures w14:val="none"/>
        </w:rPr>
        <w:t>boni</w:t>
      </w:r>
      <w:proofErr w:type="spellEnd"/>
      <w:r w:rsidRPr="00616C3F">
        <w:rPr>
          <w:rFonts w:ascii="Times New Roman" w:eastAsia="Times New Roman" w:hAnsi="Times New Roman" w:cs="Times New Roman"/>
          <w:i/>
          <w:iCs/>
          <w:color w:val="000000"/>
          <w:kern w:val="0"/>
          <w:lang w:val="es-ES" w:eastAsia="es-ES_tradnl"/>
          <w14:ligatures w14:val="none"/>
        </w:rPr>
        <w:t xml:space="preserve"> iuris</w:t>
      </w:r>
      <w:r w:rsidRPr="00616C3F">
        <w:rPr>
          <w:rFonts w:ascii="Times New Roman" w:eastAsia="Times New Roman" w:hAnsi="Times New Roman" w:cs="Times New Roman"/>
          <w:color w:val="000000"/>
          <w:kern w:val="0"/>
          <w:lang w:val="es-ES" w:eastAsia="es-ES_tradnl"/>
          <w14:ligatures w14:val="none"/>
        </w:rPr>
        <w:t> y </w:t>
      </w:r>
      <w:proofErr w:type="spellStart"/>
      <w:r w:rsidRPr="00616C3F">
        <w:rPr>
          <w:rFonts w:ascii="Times New Roman" w:eastAsia="Times New Roman" w:hAnsi="Times New Roman" w:cs="Times New Roman"/>
          <w:i/>
          <w:iCs/>
          <w:color w:val="000000"/>
          <w:kern w:val="0"/>
          <w:lang w:val="es-ES" w:eastAsia="es-ES_tradnl"/>
          <w14:ligatures w14:val="none"/>
        </w:rPr>
        <w:t>periculum</w:t>
      </w:r>
      <w:proofErr w:type="spellEnd"/>
      <w:r w:rsidRPr="00616C3F">
        <w:rPr>
          <w:rFonts w:ascii="Times New Roman" w:eastAsia="Times New Roman" w:hAnsi="Times New Roman" w:cs="Times New Roman"/>
          <w:i/>
          <w:iCs/>
          <w:color w:val="000000"/>
          <w:kern w:val="0"/>
          <w:lang w:val="es-ES" w:eastAsia="es-ES_tradnl"/>
          <w14:ligatures w14:val="none"/>
        </w:rPr>
        <w:t xml:space="preserve"> in mora</w:t>
      </w:r>
      <w:r w:rsidRPr="00616C3F">
        <w:rPr>
          <w:rFonts w:ascii="Times New Roman" w:eastAsia="Times New Roman" w:hAnsi="Times New Roman" w:cs="Times New Roman"/>
          <w:color w:val="000000"/>
          <w:kern w:val="0"/>
          <w:lang w:val="es-ES" w:eastAsia="es-ES_tradnl"/>
          <w14:ligatures w14:val="none"/>
        </w:rPr>
        <w:t>, pues su cumplimiento debe ser concurrente, tal como se dejó sentado en líneas precedentes en el presente fallo, por lo que concluye esta Superioridad que indubitablemente la Juez de mérito incurrió en el vicio de f</w:t>
      </w:r>
      <w:proofErr w:type="spellStart"/>
      <w:r w:rsidRPr="00616C3F">
        <w:rPr>
          <w:rFonts w:ascii="Times New Roman" w:eastAsia="Times New Roman" w:hAnsi="Times New Roman" w:cs="Times New Roman"/>
          <w:color w:val="000000"/>
          <w:kern w:val="0"/>
          <w:lang w:eastAsia="es-ES_tradnl"/>
          <w14:ligatures w14:val="none"/>
        </w:rPr>
        <w:t>also</w:t>
      </w:r>
      <w:proofErr w:type="spellEnd"/>
      <w:r w:rsidRPr="00616C3F">
        <w:rPr>
          <w:rFonts w:ascii="Times New Roman" w:eastAsia="Times New Roman" w:hAnsi="Times New Roman" w:cs="Times New Roman"/>
          <w:color w:val="000000"/>
          <w:kern w:val="0"/>
          <w:lang w:eastAsia="es-ES_tradnl"/>
          <w14:ligatures w14:val="none"/>
        </w:rPr>
        <w:t xml:space="preserve"> supuesto de derecho, por errónea interpretación del artículo 290 del mismo Código de 2020, </w:t>
      </w:r>
      <w:r w:rsidRPr="00616C3F">
        <w:rPr>
          <w:rFonts w:ascii="Times New Roman" w:eastAsia="Times New Roman" w:hAnsi="Times New Roman" w:cs="Times New Roman"/>
          <w:color w:val="000000"/>
          <w:kern w:val="0"/>
          <w:lang w:val="es-ES" w:eastAsia="es-ES_tradnl"/>
          <w14:ligatures w14:val="none"/>
        </w:rPr>
        <w:t>alegado por la representación en juicio de la República. </w:t>
      </w:r>
      <w:r w:rsidRPr="00616C3F">
        <w:rPr>
          <w:rFonts w:ascii="Times New Roman" w:eastAsia="Times New Roman" w:hAnsi="Times New Roman" w:cs="Times New Roman"/>
          <w:b/>
          <w:bCs/>
          <w:color w:val="000000"/>
          <w:kern w:val="0"/>
          <w:lang w:val="es-ES" w:eastAsia="es-ES_tradnl"/>
          <w14:ligatures w14:val="none"/>
        </w:rPr>
        <w:t>Así se declara</w:t>
      </w:r>
      <w:r w:rsidRPr="00616C3F">
        <w:rPr>
          <w:rFonts w:ascii="Times New Roman" w:eastAsia="Times New Roman" w:hAnsi="Times New Roman" w:cs="Times New Roman"/>
          <w:color w:val="000000"/>
          <w:kern w:val="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7EA255E1"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Con fundamento en lo antes expresado, esta Alto Tribunal declara </w:t>
      </w:r>
      <w:r w:rsidRPr="00616C3F">
        <w:rPr>
          <w:rFonts w:ascii="Times New Roman" w:eastAsia="Times New Roman" w:hAnsi="Times New Roman" w:cs="Times New Roman"/>
          <w:b/>
          <w:bCs/>
          <w:color w:val="000000"/>
          <w:kern w:val="0"/>
          <w:lang w:val="es-ES" w:eastAsia="es-ES_tradnl"/>
          <w14:ligatures w14:val="none"/>
        </w:rPr>
        <w:t>con lugar</w:t>
      </w:r>
      <w:r w:rsidRPr="00616C3F">
        <w:rPr>
          <w:rFonts w:ascii="Times New Roman" w:eastAsia="Times New Roman" w:hAnsi="Times New Roman" w:cs="Times New Roman"/>
          <w:color w:val="000000"/>
          <w:kern w:val="0"/>
          <w:lang w:val="es-ES" w:eastAsia="es-ES_tradnl"/>
          <w14:ligatures w14:val="none"/>
        </w:rPr>
        <w:t> la apelación incoada por la representación en juicio del Fisco Nacional, contra la sentencia interlocutoria Nro. 095-21, de fecha 9 de diciembre de 2021 dictado por el Tribunal Superior de lo Contencioso Tributario de la Región Los Andes, que acordó la suspensión de los efectos del acto solicitada con el recurso contencioso en fecha 21 de junio de 2021, por la ya identificada</w:t>
      </w:r>
      <w:r w:rsidRPr="00616C3F">
        <w:rPr>
          <w:rFonts w:ascii="Times New Roman" w:eastAsia="Times New Roman" w:hAnsi="Times New Roman" w:cs="Times New Roman"/>
          <w:color w:val="000000"/>
          <w:kern w:val="0"/>
          <w:lang w:val="es-VE" w:eastAsia="es-ES_tradnl"/>
          <w14:ligatures w14:val="none"/>
        </w:rPr>
        <w:t> propietaria del fondo de comercio Distribuidora Bam Bam, F.P., </w:t>
      </w:r>
      <w:r w:rsidRPr="00616C3F">
        <w:rPr>
          <w:rFonts w:ascii="Times New Roman" w:eastAsia="Times New Roman" w:hAnsi="Times New Roman" w:cs="Times New Roman"/>
          <w:color w:val="000000"/>
          <w:kern w:val="0"/>
          <w:lang w:eastAsia="es-ES_tradnl"/>
          <w14:ligatures w14:val="none"/>
        </w:rPr>
        <w:t>la cual se </w:t>
      </w:r>
      <w:r w:rsidRPr="00616C3F">
        <w:rPr>
          <w:rFonts w:ascii="Times New Roman" w:eastAsia="Times New Roman" w:hAnsi="Times New Roman" w:cs="Times New Roman"/>
          <w:b/>
          <w:bCs/>
          <w:color w:val="000000"/>
          <w:kern w:val="0"/>
          <w:lang w:eastAsia="es-ES_tradnl"/>
          <w14:ligatures w14:val="none"/>
        </w:rPr>
        <w:t>revoca </w:t>
      </w:r>
      <w:r w:rsidRPr="00616C3F">
        <w:rPr>
          <w:rFonts w:ascii="Times New Roman" w:eastAsia="Times New Roman" w:hAnsi="Times New Roman" w:cs="Times New Roman"/>
          <w:color w:val="000000"/>
          <w:kern w:val="0"/>
          <w:lang w:eastAsia="es-ES_tradnl"/>
          <w14:ligatures w14:val="none"/>
        </w:rPr>
        <w:t>en los términos expuestos en la presente decisión. </w:t>
      </w:r>
      <w:r w:rsidRPr="00616C3F">
        <w:rPr>
          <w:rFonts w:ascii="Times New Roman" w:eastAsia="Times New Roman" w:hAnsi="Times New Roman" w:cs="Times New Roman"/>
          <w:b/>
          <w:bCs/>
          <w:color w:val="000000"/>
          <w:kern w:val="0"/>
          <w:lang w:val="es-ES" w:eastAsia="es-ES_tradnl"/>
          <w14:ligatures w14:val="none"/>
        </w:rPr>
        <w:t>Así se establece</w:t>
      </w:r>
      <w:r w:rsidRPr="00616C3F">
        <w:rPr>
          <w:rFonts w:ascii="Times New Roman" w:eastAsia="Times New Roman" w:hAnsi="Times New Roman" w:cs="Times New Roman"/>
          <w:color w:val="000000"/>
          <w:kern w:val="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34C582D6"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ES" w:eastAsia="es-ES_tradnl"/>
          <w14:ligatures w14:val="none"/>
        </w:rPr>
        <w:t>En razón de lo indicado, esta Máxima Instancia declara </w:t>
      </w:r>
      <w:r w:rsidRPr="00616C3F">
        <w:rPr>
          <w:rFonts w:ascii="Times New Roman" w:eastAsia="Times New Roman" w:hAnsi="Times New Roman" w:cs="Times New Roman"/>
          <w:b/>
          <w:bCs/>
          <w:color w:val="000000"/>
          <w:kern w:val="0"/>
          <w:lang w:val="es-ES" w:eastAsia="es-ES_tradnl"/>
          <w14:ligatures w14:val="none"/>
        </w:rPr>
        <w:t>improcedente </w:t>
      </w:r>
      <w:r w:rsidRPr="00616C3F">
        <w:rPr>
          <w:rFonts w:ascii="Times New Roman" w:eastAsia="Times New Roman" w:hAnsi="Times New Roman" w:cs="Times New Roman"/>
          <w:color w:val="000000"/>
          <w:kern w:val="0"/>
          <w:lang w:eastAsia="es-ES_tradnl"/>
          <w14:ligatures w14:val="none"/>
        </w:rPr>
        <w:t>la medida cautelar de suspensión de efectos solicitada </w:t>
      </w:r>
      <w:r w:rsidRPr="00616C3F">
        <w:rPr>
          <w:rFonts w:ascii="Times New Roman" w:eastAsia="Times New Roman" w:hAnsi="Times New Roman" w:cs="Times New Roman"/>
          <w:color w:val="000000"/>
          <w:kern w:val="0"/>
          <w:lang w:val="es-ES" w:eastAsia="es-ES_tradnl"/>
          <w14:ligatures w14:val="none"/>
        </w:rPr>
        <w:t xml:space="preserve">en el marco del recurso contencioso tributario </w:t>
      </w:r>
      <w:r w:rsidRPr="00616C3F">
        <w:rPr>
          <w:rFonts w:ascii="Times New Roman" w:eastAsia="Times New Roman" w:hAnsi="Times New Roman" w:cs="Times New Roman"/>
          <w:color w:val="000000"/>
          <w:kern w:val="0"/>
          <w:lang w:val="es-ES" w:eastAsia="es-ES_tradnl"/>
          <w14:ligatures w14:val="none"/>
        </w:rPr>
        <w:lastRenderedPageBreak/>
        <w:t>ejercido contra la Resolución de Imposición de Sanción N° </w:t>
      </w:r>
      <w:r w:rsidRPr="00616C3F">
        <w:rPr>
          <w:rFonts w:ascii="Times New Roman" w:eastAsia="Times New Roman" w:hAnsi="Times New Roman" w:cs="Times New Roman"/>
          <w:color w:val="000000"/>
          <w:kern w:val="0"/>
          <w:lang w:val="es-VE" w:eastAsia="es-ES_tradnl"/>
          <w14:ligatures w14:val="none"/>
        </w:rPr>
        <w:t>SNAT/INTI/GRTI/RLA/SS/AF/2021/IVA/ISLR/00030/00041 de fecha 17 de febrero de 2021, notificada el 5 de marzo del mismo año</w:t>
      </w:r>
      <w:r w:rsidRPr="00616C3F">
        <w:rPr>
          <w:rFonts w:ascii="Times New Roman" w:eastAsia="Times New Roman" w:hAnsi="Times New Roman" w:cs="Times New Roman"/>
          <w:color w:val="000000"/>
          <w:kern w:val="0"/>
          <w:lang w:val="es-ES" w:eastAsia="es-ES_tradnl"/>
          <w14:ligatures w14:val="none"/>
        </w:rPr>
        <w:t>, emitida por el Jefe del Sector de Tributos Internos de la Región Los Andes, de la Gerencia Regional de Tributos Internos Región Los Andes del </w:t>
      </w:r>
      <w:r w:rsidRPr="00616C3F">
        <w:rPr>
          <w:rFonts w:ascii="Times New Roman" w:eastAsia="Times New Roman" w:hAnsi="Times New Roman" w:cs="Times New Roman"/>
          <w:b/>
          <w:bCs/>
          <w:color w:val="000000"/>
          <w:kern w:val="0"/>
          <w:lang w:val="es-ES" w:eastAsia="es-ES_tradnl"/>
          <w14:ligatures w14:val="none"/>
        </w:rPr>
        <w:t>SERVICIO NACIONAL INTEGRADO DE ADMINISTRACIÓN ADUANERA Y TRIBUTARIA (</w:t>
      </w:r>
      <w:proofErr w:type="spellStart"/>
      <w:r w:rsidRPr="00616C3F">
        <w:rPr>
          <w:rFonts w:ascii="Times New Roman" w:eastAsia="Times New Roman" w:hAnsi="Times New Roman" w:cs="Times New Roman"/>
          <w:b/>
          <w:bCs/>
          <w:color w:val="000000"/>
          <w:kern w:val="0"/>
          <w:lang w:val="es-ES" w:eastAsia="es-ES_tradnl"/>
          <w14:ligatures w14:val="none"/>
        </w:rPr>
        <w:t>SENIAT</w:t>
      </w:r>
      <w:proofErr w:type="spellEnd"/>
      <w:r w:rsidRPr="00616C3F">
        <w:rPr>
          <w:rFonts w:ascii="Times New Roman" w:eastAsia="Times New Roman" w:hAnsi="Times New Roman" w:cs="Times New Roman"/>
          <w:b/>
          <w:bCs/>
          <w:color w:val="000000"/>
          <w:kern w:val="0"/>
          <w:lang w:val="es-ES" w:eastAsia="es-ES_tradnl"/>
          <w14:ligatures w14:val="none"/>
        </w:rPr>
        <w:t>)</w:t>
      </w:r>
      <w:r w:rsidRPr="00616C3F">
        <w:rPr>
          <w:rFonts w:ascii="Times New Roman" w:eastAsia="Times New Roman" w:hAnsi="Times New Roman" w:cs="Times New Roman"/>
          <w:color w:val="000000"/>
          <w:kern w:val="0"/>
          <w:lang w:val="es-ES" w:eastAsia="es-ES_tradnl"/>
          <w14:ligatures w14:val="none"/>
        </w:rPr>
        <w:t>. </w:t>
      </w:r>
      <w:r w:rsidRPr="00616C3F">
        <w:rPr>
          <w:rFonts w:ascii="Times New Roman" w:eastAsia="Times New Roman" w:hAnsi="Times New Roman" w:cs="Times New Roman"/>
          <w:b/>
          <w:bCs/>
          <w:color w:val="000000"/>
          <w:kern w:val="0"/>
          <w:lang w:val="es-ES" w:eastAsia="es-ES_tradnl"/>
          <w14:ligatures w14:val="none"/>
        </w:rPr>
        <w:t>Así se dispone</w:t>
      </w:r>
      <w:r w:rsidRPr="00616C3F">
        <w:rPr>
          <w:rFonts w:ascii="Times New Roman" w:eastAsia="Times New Roman" w:hAnsi="Times New Roman" w:cs="Times New Roman"/>
          <w:color w:val="000000"/>
          <w:kern w:val="0"/>
          <w:lang w:val="es-ES"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18392D60"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En consecuencia, </w:t>
      </w:r>
      <w:r w:rsidRPr="00616C3F">
        <w:rPr>
          <w:rFonts w:ascii="Times New Roman" w:eastAsia="Times New Roman" w:hAnsi="Times New Roman" w:cs="Times New Roman"/>
          <w:color w:val="000000"/>
          <w:kern w:val="0"/>
          <w:lang w:eastAsia="es-ES_tradnl"/>
          <w14:ligatures w14:val="none"/>
        </w:rPr>
        <w:t>se condena en costas procesales en esta incidencia a</w:t>
      </w:r>
      <w:r w:rsidRPr="00616C3F">
        <w:rPr>
          <w:rFonts w:ascii="Times New Roman" w:eastAsia="Times New Roman" w:hAnsi="Times New Roman" w:cs="Times New Roman"/>
          <w:color w:val="000000"/>
          <w:kern w:val="0"/>
          <w:lang w:val="es-VE" w:eastAsia="es-ES_tradnl"/>
          <w14:ligatures w14:val="none"/>
        </w:rPr>
        <w:t>l fondo de comercio </w:t>
      </w:r>
      <w:r w:rsidRPr="00616C3F">
        <w:rPr>
          <w:rFonts w:ascii="Times New Roman" w:eastAsia="Times New Roman" w:hAnsi="Times New Roman" w:cs="Times New Roman"/>
          <w:b/>
          <w:bCs/>
          <w:color w:val="000000"/>
          <w:kern w:val="0"/>
          <w:lang w:val="es-VE" w:eastAsia="es-ES_tradnl"/>
          <w14:ligatures w14:val="none"/>
        </w:rPr>
        <w:t>DISTRIBUIDORA BAM BAM, F.P.</w:t>
      </w:r>
      <w:r w:rsidRPr="00616C3F">
        <w:rPr>
          <w:rFonts w:ascii="Times New Roman" w:eastAsia="Times New Roman" w:hAnsi="Times New Roman" w:cs="Times New Roman"/>
          <w:color w:val="000000"/>
          <w:kern w:val="0"/>
          <w:lang w:val="es-VE" w:eastAsia="es-ES_tradnl"/>
          <w14:ligatures w14:val="none"/>
        </w:rPr>
        <w:t>, </w:t>
      </w:r>
      <w:r w:rsidRPr="00616C3F">
        <w:rPr>
          <w:rFonts w:ascii="Times New Roman" w:eastAsia="Times New Roman" w:hAnsi="Times New Roman" w:cs="Times New Roman"/>
          <w:color w:val="000000"/>
          <w:kern w:val="0"/>
          <w:lang w:eastAsia="es-ES_tradnl"/>
          <w14:ligatures w14:val="none"/>
        </w:rPr>
        <w:t>por el monto equivalente al uno por ciento (1%) de la cuantía del recurso contencioso tributario, </w:t>
      </w:r>
      <w:r w:rsidRPr="00616C3F">
        <w:rPr>
          <w:rFonts w:ascii="Times New Roman" w:eastAsia="Times New Roman" w:hAnsi="Times New Roman" w:cs="Times New Roman"/>
          <w:color w:val="000000"/>
          <w:kern w:val="0"/>
          <w:lang w:val="es-VE" w:eastAsia="es-ES_tradnl"/>
          <w14:ligatures w14:val="none"/>
        </w:rPr>
        <w:t>de acuerdo a lo dispuesto en el artículo 335 del Código Orgánico Tributario de 2020</w:t>
      </w:r>
      <w:r w:rsidRPr="00616C3F">
        <w:rPr>
          <w:rFonts w:ascii="Times New Roman" w:eastAsia="Times New Roman" w:hAnsi="Times New Roman" w:cs="Times New Roman"/>
          <w:color w:val="000000"/>
          <w:kern w:val="0"/>
          <w:lang w:eastAsia="es-ES_tradnl"/>
          <w14:ligatures w14:val="none"/>
        </w:rPr>
        <w:t>. </w:t>
      </w:r>
      <w:r w:rsidRPr="00616C3F">
        <w:rPr>
          <w:rFonts w:ascii="Times New Roman" w:eastAsia="Times New Roman" w:hAnsi="Times New Roman" w:cs="Times New Roman"/>
          <w:b/>
          <w:bCs/>
          <w:color w:val="000000"/>
          <w:kern w:val="0"/>
          <w:lang w:eastAsia="es-ES_tradnl"/>
          <w14:ligatures w14:val="none"/>
        </w:rPr>
        <w:t>Así se establece.</w:t>
      </w:r>
      <w:r w:rsidRPr="00616C3F">
        <w:rPr>
          <w:rFonts w:ascii="Times New Roman" w:eastAsia="Times New Roman" w:hAnsi="Times New Roman" w:cs="Times New Roman"/>
          <w:color w:val="000000"/>
          <w:kern w:val="0"/>
          <w:lang w:val="es-VE" w:eastAsia="es-ES_tradnl"/>
          <w14:ligatures w14:val="none"/>
        </w:rPr>
        <w:t> </w:t>
      </w:r>
    </w:p>
    <w:p w14:paraId="648E8959"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shd w:val="clear" w:color="auto" w:fill="FFFFFF"/>
          <w:lang w:val="es-VE" w:eastAsia="es-ES_tradnl"/>
          <w14:ligatures w14:val="none"/>
        </w:rPr>
        <w:t>Finalmente, resulta imperativo precisar que la Sala Plena de este Máximo Tribunal mediante Resolución número 2021-0011 de fecha 9 de junio de 2021, dictó los Lineamientos para la Suscripción y Publicación de Decisiones con Firma Digital, Práctica de Citaciones y Notificaciones Electrónicas y la Emisión de Copias Simples o Certificadas por Vía Electrónica respecto de los procesos seguidos ante esta Sala Político-Administrativa, en tal sentido, conforme a los artículos 38 de la Ley Orgánica de la Jurisdicción Contencioso Administrativa y 3 de la Resolución en comento, esta Sala podrá “(…) </w:t>
      </w:r>
      <w:r w:rsidRPr="00616C3F">
        <w:rPr>
          <w:rFonts w:ascii="Times New Roman" w:eastAsia="Times New Roman" w:hAnsi="Times New Roman" w:cs="Times New Roman"/>
          <w:i/>
          <w:iCs/>
          <w:color w:val="000000"/>
          <w:kern w:val="0"/>
          <w:shd w:val="clear" w:color="auto" w:fill="FFFFFF"/>
          <w:lang w:val="es-VE" w:eastAsia="es-ES_tradnl"/>
          <w14:ligatures w14:val="none"/>
        </w:rPr>
        <w:t>suscribir y publicar decisiones, practicar las citaciones y notificaciones por correo electrónico o cualquier otro medio que utilice tecnologías de la información y la comunicación, una vez conste en las actas del expediente, que las partes cuentan con los medios telemáticos suficientes para hacer efectiva dicha actuación procesal </w:t>
      </w:r>
      <w:r w:rsidRPr="00616C3F">
        <w:rPr>
          <w:rFonts w:ascii="Times New Roman" w:eastAsia="Times New Roman" w:hAnsi="Times New Roman" w:cs="Times New Roman"/>
          <w:color w:val="000000"/>
          <w:kern w:val="0"/>
          <w:shd w:val="clear" w:color="auto" w:fill="FFFFFF"/>
          <w:lang w:val="es-VE"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4B38147E"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shd w:val="clear" w:color="auto" w:fill="FFFFFF"/>
          <w:lang w:val="es-VE" w:eastAsia="es-ES_tradnl"/>
          <w14:ligatures w14:val="none"/>
        </w:rPr>
        <w:t>En razón de ello se ordena que las notificaciones a que haya lugar y que sean concernientes al presente fallo, se efectúen a través de medios electrónicos; sin embargo, para el caso en que el destinatario y/o destinataria de la notificación no cuente con los recursos telemáticos necesarios, se procederá de acuerdo a lo estipulado en las leyes y en la aludida Resolución [</w:t>
      </w:r>
      <w:r w:rsidRPr="00616C3F">
        <w:rPr>
          <w:rFonts w:ascii="Times New Roman" w:eastAsia="Times New Roman" w:hAnsi="Times New Roman" w:cs="Times New Roman"/>
          <w:i/>
          <w:iCs/>
          <w:color w:val="000000"/>
          <w:kern w:val="0"/>
          <w:shd w:val="clear" w:color="auto" w:fill="FFFFFF"/>
          <w:lang w:val="es-VE" w:eastAsia="es-ES_tradnl"/>
          <w14:ligatures w14:val="none"/>
        </w:rPr>
        <w:t>Vid.</w:t>
      </w:r>
      <w:r w:rsidRPr="00616C3F">
        <w:rPr>
          <w:rFonts w:ascii="Times New Roman" w:eastAsia="Times New Roman" w:hAnsi="Times New Roman" w:cs="Times New Roman"/>
          <w:color w:val="000000"/>
          <w:kern w:val="0"/>
          <w:shd w:val="clear" w:color="auto" w:fill="FFFFFF"/>
          <w:lang w:val="es-VE" w:eastAsia="es-ES_tradnl"/>
          <w14:ligatures w14:val="none"/>
        </w:rPr>
        <w:t>, sentencia de esta Sala número 00149 del 7 de julio de 2021, caso: </w:t>
      </w:r>
      <w:r w:rsidRPr="00616C3F">
        <w:rPr>
          <w:rFonts w:ascii="Times New Roman" w:eastAsia="Times New Roman" w:hAnsi="Times New Roman" w:cs="Times New Roman"/>
          <w:i/>
          <w:iCs/>
          <w:color w:val="000000"/>
          <w:kern w:val="0"/>
          <w:shd w:val="clear" w:color="auto" w:fill="FFFFFF"/>
          <w:lang w:val="es-VE" w:eastAsia="es-ES_tradnl"/>
          <w14:ligatures w14:val="none"/>
        </w:rPr>
        <w:t>Corporación Eléctrica Nacional, S.A. (CORPOELEC)</w:t>
      </w:r>
      <w:r w:rsidRPr="00616C3F">
        <w:rPr>
          <w:rFonts w:ascii="Times New Roman" w:eastAsia="Times New Roman" w:hAnsi="Times New Roman" w:cs="Times New Roman"/>
          <w:color w:val="000000"/>
          <w:kern w:val="0"/>
          <w:shd w:val="clear" w:color="auto" w:fill="FFFFFF"/>
          <w:lang w:val="es-VE" w:eastAsia="es-ES_tradnl"/>
          <w14:ligatures w14:val="none"/>
        </w:rPr>
        <w:t>]. </w:t>
      </w:r>
      <w:r w:rsidRPr="00616C3F">
        <w:rPr>
          <w:rFonts w:ascii="Times New Roman" w:eastAsia="Times New Roman" w:hAnsi="Times New Roman" w:cs="Times New Roman"/>
          <w:b/>
          <w:bCs/>
          <w:color w:val="000000"/>
          <w:kern w:val="0"/>
          <w:shd w:val="clear" w:color="auto" w:fill="FFFFFF"/>
          <w:lang w:val="es-VE" w:eastAsia="es-ES_tradnl"/>
          <w14:ligatures w14:val="none"/>
        </w:rPr>
        <w:t>Así se dispone</w:t>
      </w:r>
      <w:r w:rsidRPr="00616C3F">
        <w:rPr>
          <w:rFonts w:ascii="Times New Roman" w:eastAsia="Times New Roman" w:hAnsi="Times New Roman" w:cs="Times New Roman"/>
          <w:color w:val="000000"/>
          <w:kern w:val="0"/>
          <w:shd w:val="clear" w:color="auto" w:fill="FFFFFF"/>
          <w:lang w:val="es-VE" w:eastAsia="es-ES_tradnl"/>
          <w14:ligatures w14:val="none"/>
        </w:rPr>
        <w:t>.</w:t>
      </w:r>
      <w:r w:rsidRPr="00616C3F">
        <w:rPr>
          <w:rFonts w:ascii="Times New Roman" w:eastAsia="Times New Roman" w:hAnsi="Times New Roman" w:cs="Times New Roman"/>
          <w:color w:val="000000"/>
          <w:kern w:val="0"/>
          <w:lang w:val="es-VE" w:eastAsia="es-ES_tradnl"/>
          <w14:ligatures w14:val="none"/>
        </w:rPr>
        <w:t> </w:t>
      </w:r>
    </w:p>
    <w:p w14:paraId="4176F499"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aps/>
          <w:color w:val="000000"/>
          <w:kern w:val="0"/>
          <w:lang w:val="es-VE"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0B926EB9"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aps/>
          <w:color w:val="000000"/>
          <w:kern w:val="0"/>
          <w:lang w:val="es-VE" w:eastAsia="es-ES_tradnl"/>
          <w14:ligatures w14:val="none"/>
        </w:rPr>
        <w:t>V</w:t>
      </w:r>
      <w:r w:rsidRPr="00616C3F">
        <w:rPr>
          <w:rFonts w:ascii="Times New Roman" w:eastAsia="Times New Roman" w:hAnsi="Times New Roman" w:cs="Times New Roman"/>
          <w:color w:val="000000"/>
          <w:kern w:val="0"/>
          <w:lang w:val="es-VE" w:eastAsia="es-ES_tradnl"/>
          <w14:ligatures w14:val="none"/>
        </w:rPr>
        <w:t> </w:t>
      </w:r>
    </w:p>
    <w:p w14:paraId="0BAE5A38"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aps/>
          <w:color w:val="000000"/>
          <w:kern w:val="0"/>
          <w:lang w:val="es-VE" w:eastAsia="es-ES_tradnl"/>
          <w14:ligatures w14:val="none"/>
        </w:rPr>
        <w:t>DECISIÓN</w:t>
      </w:r>
      <w:r w:rsidRPr="00616C3F">
        <w:rPr>
          <w:rFonts w:ascii="Times New Roman" w:eastAsia="Times New Roman" w:hAnsi="Times New Roman" w:cs="Times New Roman"/>
          <w:color w:val="000000"/>
          <w:kern w:val="0"/>
          <w:lang w:val="es-VE" w:eastAsia="es-ES_tradnl"/>
          <w14:ligatures w14:val="none"/>
        </w:rPr>
        <w:t> </w:t>
      </w:r>
    </w:p>
    <w:p w14:paraId="3AC7D3DC"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aps/>
          <w:color w:val="000000"/>
          <w:kern w:val="0"/>
          <w:lang w:val="es-VE"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1F177DA2"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aps/>
          <w:color w:val="000000"/>
          <w:kern w:val="0"/>
          <w:lang w:val="es-VE" w:eastAsia="es-ES_tradnl"/>
          <w14:ligatures w14:val="none"/>
        </w:rPr>
        <w:t> </w:t>
      </w:r>
      <w:r w:rsidRPr="00616C3F">
        <w:rPr>
          <w:rFonts w:ascii="Times New Roman" w:eastAsia="Times New Roman" w:hAnsi="Times New Roman" w:cs="Times New Roman"/>
          <w:color w:val="000000"/>
          <w:kern w:val="0"/>
          <w:lang w:val="es-VE" w:eastAsia="es-ES_tradnl"/>
          <w14:ligatures w14:val="none"/>
        </w:rPr>
        <w:t> </w:t>
      </w:r>
    </w:p>
    <w:p w14:paraId="633B7A1B" w14:textId="77777777" w:rsidR="00616C3F" w:rsidRPr="00616C3F" w:rsidRDefault="00616C3F" w:rsidP="00616C3F">
      <w:pPr>
        <w:spacing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Por las razones precedentemente señaladas, este Tribunal Supremo de Justicia en Sala Político-Administrativa, administrando justicia en nombre de la República Bolivariana de Venezuela por autoridad de la Ley, declara: </w:t>
      </w:r>
    </w:p>
    <w:p w14:paraId="7BC837DE"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lastRenderedPageBreak/>
        <w:t>1.- CON LUGAR</w:t>
      </w:r>
      <w:r w:rsidRPr="00616C3F">
        <w:rPr>
          <w:rFonts w:ascii="Times New Roman" w:eastAsia="Times New Roman" w:hAnsi="Times New Roman" w:cs="Times New Roman"/>
          <w:color w:val="000000"/>
          <w:kern w:val="0"/>
          <w:lang w:val="es-VE" w:eastAsia="es-ES_tradnl"/>
          <w14:ligatures w14:val="none"/>
        </w:rPr>
        <w:t> la apelación incoada por el apoderado en juicio del </w:t>
      </w:r>
      <w:r w:rsidRPr="00616C3F">
        <w:rPr>
          <w:rFonts w:ascii="Times New Roman" w:eastAsia="Times New Roman" w:hAnsi="Times New Roman" w:cs="Times New Roman"/>
          <w:b/>
          <w:bCs/>
          <w:color w:val="000000"/>
          <w:kern w:val="0"/>
          <w:lang w:val="es-VE" w:eastAsia="es-ES_tradnl"/>
          <w14:ligatures w14:val="none"/>
        </w:rPr>
        <w:t>FISCO NACIONAL</w:t>
      </w:r>
      <w:r w:rsidRPr="00616C3F">
        <w:rPr>
          <w:rFonts w:ascii="Times New Roman" w:eastAsia="Times New Roman" w:hAnsi="Times New Roman" w:cs="Times New Roman"/>
          <w:color w:val="000000"/>
          <w:kern w:val="0"/>
          <w:lang w:val="es-VE" w:eastAsia="es-ES_tradnl"/>
          <w14:ligatures w14:val="none"/>
        </w:rPr>
        <w:t>, contra la </w:t>
      </w:r>
      <w:r w:rsidRPr="00616C3F">
        <w:rPr>
          <w:rFonts w:ascii="Times New Roman" w:eastAsia="Times New Roman" w:hAnsi="Times New Roman" w:cs="Times New Roman"/>
          <w:color w:val="000000"/>
          <w:kern w:val="0"/>
          <w:lang w:eastAsia="es-ES_tradnl"/>
          <w14:ligatures w14:val="none"/>
        </w:rPr>
        <w:t>sentencia interlocutoria N° 095-21 dictada por </w:t>
      </w:r>
      <w:r w:rsidRPr="00616C3F">
        <w:rPr>
          <w:rFonts w:ascii="Times New Roman" w:eastAsia="Times New Roman" w:hAnsi="Times New Roman" w:cs="Times New Roman"/>
          <w:color w:val="000000"/>
          <w:kern w:val="0"/>
          <w:lang w:val="es-VE" w:eastAsia="es-ES_tradnl"/>
          <w14:ligatures w14:val="none"/>
        </w:rPr>
        <w:t>el Tribunal Superior de lo Contencioso Tributario de la Región Los Andes</w:t>
      </w:r>
      <w:r w:rsidRPr="00616C3F">
        <w:rPr>
          <w:rFonts w:ascii="Times New Roman" w:eastAsia="Times New Roman" w:hAnsi="Times New Roman" w:cs="Times New Roman"/>
          <w:color w:val="000000"/>
          <w:kern w:val="0"/>
          <w:lang w:eastAsia="es-ES_tradnl"/>
          <w14:ligatures w14:val="none"/>
        </w:rPr>
        <w:t> en fecha 9 de diciembre de 2021</w:t>
      </w:r>
      <w:r w:rsidRPr="00616C3F">
        <w:rPr>
          <w:rFonts w:ascii="Times New Roman" w:eastAsia="Times New Roman" w:hAnsi="Times New Roman" w:cs="Times New Roman"/>
          <w:color w:val="000000"/>
          <w:kern w:val="0"/>
          <w:lang w:val="es-VE" w:eastAsia="es-ES_tradnl"/>
          <w14:ligatures w14:val="none"/>
        </w:rPr>
        <w:t>, la cual se </w:t>
      </w:r>
      <w:r w:rsidRPr="00616C3F">
        <w:rPr>
          <w:rFonts w:ascii="Times New Roman" w:eastAsia="Times New Roman" w:hAnsi="Times New Roman" w:cs="Times New Roman"/>
          <w:b/>
          <w:bCs/>
          <w:color w:val="000000"/>
          <w:kern w:val="0"/>
          <w:lang w:val="es-VE" w:eastAsia="es-ES_tradnl"/>
          <w14:ligatures w14:val="none"/>
        </w:rPr>
        <w:t>REVOCA</w:t>
      </w:r>
      <w:r w:rsidRPr="00616C3F">
        <w:rPr>
          <w:rFonts w:ascii="Times New Roman" w:eastAsia="Times New Roman" w:hAnsi="Times New Roman" w:cs="Times New Roman"/>
          <w:color w:val="000000"/>
          <w:kern w:val="0"/>
          <w:lang w:val="es-VE" w:eastAsia="es-ES_tradnl"/>
          <w14:ligatures w14:val="none"/>
        </w:rPr>
        <w:t>. </w:t>
      </w:r>
    </w:p>
    <w:p w14:paraId="4B144C97"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2.- I</w:t>
      </w:r>
      <w:proofErr w:type="spellStart"/>
      <w:r w:rsidRPr="00616C3F">
        <w:rPr>
          <w:rFonts w:ascii="Times New Roman" w:eastAsia="Times New Roman" w:hAnsi="Times New Roman" w:cs="Times New Roman"/>
          <w:b/>
          <w:bCs/>
          <w:color w:val="000000"/>
          <w:kern w:val="0"/>
          <w:lang w:eastAsia="es-ES_tradnl"/>
          <w14:ligatures w14:val="none"/>
        </w:rPr>
        <w:t>MPROCEDENTE</w:t>
      </w:r>
      <w:proofErr w:type="spellEnd"/>
      <w:r w:rsidRPr="00616C3F">
        <w:rPr>
          <w:rFonts w:ascii="Times New Roman" w:eastAsia="Times New Roman" w:hAnsi="Times New Roman" w:cs="Times New Roman"/>
          <w:color w:val="000000"/>
          <w:kern w:val="0"/>
          <w:lang w:eastAsia="es-ES_tradnl"/>
          <w14:ligatures w14:val="none"/>
        </w:rPr>
        <w:t> la acción de solicitud de suspensión de efectos ejercida conjuntamente con el recurso de contencioso tributario interpuesto por la sociedad mercantil </w:t>
      </w:r>
      <w:r w:rsidRPr="00616C3F">
        <w:rPr>
          <w:rFonts w:ascii="Times New Roman" w:eastAsia="Times New Roman" w:hAnsi="Times New Roman" w:cs="Times New Roman"/>
          <w:b/>
          <w:bCs/>
          <w:color w:val="000000"/>
          <w:kern w:val="0"/>
          <w:lang w:val="es-VE" w:eastAsia="es-ES_tradnl"/>
          <w14:ligatures w14:val="none"/>
        </w:rPr>
        <w:t>DISTRIBUIDORA BAM BAM, F.P</w:t>
      </w:r>
      <w:r w:rsidRPr="00616C3F">
        <w:rPr>
          <w:rFonts w:ascii="Times New Roman" w:eastAsia="Times New Roman" w:hAnsi="Times New Roman" w:cs="Times New Roman"/>
          <w:color w:val="000000"/>
          <w:kern w:val="0"/>
          <w:lang w:val="es-VE" w:eastAsia="es-ES_tradnl"/>
          <w14:ligatures w14:val="none"/>
        </w:rPr>
        <w:t>, contra la Resolución de Imposición de Sanción identificada con letras y números SNAT/INTI/GRTI/RLA/DF/2021/IVA/ISLR/0030/00041 de fecha 17 de Febrero de 2021, suscrita por el Jefe de División de Fiscalización, de la Gerencia Regional de Tributos Internos Región Los Andes del </w:t>
      </w:r>
      <w:r w:rsidRPr="00616C3F">
        <w:rPr>
          <w:rFonts w:ascii="Times New Roman" w:eastAsia="Times New Roman" w:hAnsi="Times New Roman" w:cs="Times New Roman"/>
          <w:b/>
          <w:bCs/>
          <w:color w:val="000000"/>
          <w:kern w:val="0"/>
          <w:lang w:val="es-VE" w:eastAsia="es-ES_tradnl"/>
          <w14:ligatures w14:val="none"/>
        </w:rPr>
        <w:t>SERVICIO NACIONAL INTEGRADO DE ADMINISTRACIÓN ADUANERA Y TRIBUTARIA (SENIAT)</w:t>
      </w:r>
      <w:r w:rsidRPr="00616C3F">
        <w:rPr>
          <w:rFonts w:ascii="Times New Roman" w:eastAsia="Times New Roman" w:hAnsi="Times New Roman" w:cs="Times New Roman"/>
          <w:color w:val="000000"/>
          <w:kern w:val="0"/>
          <w:lang w:val="es-VE" w:eastAsia="es-ES_tradnl"/>
          <w14:ligatures w14:val="none"/>
        </w:rPr>
        <w:t>. </w:t>
      </w:r>
    </w:p>
    <w:p w14:paraId="64CB09F4"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3.-</w:t>
      </w:r>
      <w:r w:rsidRPr="00616C3F">
        <w:rPr>
          <w:rFonts w:ascii="Times New Roman" w:eastAsia="Times New Roman" w:hAnsi="Times New Roman" w:cs="Times New Roman"/>
          <w:color w:val="000000"/>
          <w:kern w:val="0"/>
          <w:lang w:val="es-VE" w:eastAsia="es-ES_tradnl"/>
          <w14:ligatures w14:val="none"/>
        </w:rPr>
        <w:t> Queda </w:t>
      </w:r>
      <w:r w:rsidRPr="00616C3F">
        <w:rPr>
          <w:rFonts w:ascii="Times New Roman" w:eastAsia="Times New Roman" w:hAnsi="Times New Roman" w:cs="Times New Roman"/>
          <w:b/>
          <w:bCs/>
          <w:color w:val="000000"/>
          <w:kern w:val="0"/>
          <w:lang w:val="es-VE" w:eastAsia="es-ES_tradnl"/>
          <w14:ligatures w14:val="none"/>
        </w:rPr>
        <w:t>SIN EFECTOS JURÍDICOS</w:t>
      </w:r>
      <w:r w:rsidRPr="00616C3F">
        <w:rPr>
          <w:rFonts w:ascii="Times New Roman" w:eastAsia="Times New Roman" w:hAnsi="Times New Roman" w:cs="Times New Roman"/>
          <w:color w:val="000000"/>
          <w:kern w:val="0"/>
          <w:lang w:val="es-VE" w:eastAsia="es-ES_tradnl"/>
          <w14:ligatures w14:val="none"/>
        </w:rPr>
        <w:t> la sentencia interlocutoria N° 095-2021, de fecha 9 de diciembre de 2021, a través de la cual el Tribunal de instancia declaró procedente la protección cautelar. </w:t>
      </w:r>
    </w:p>
    <w:p w14:paraId="5C49D252"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b/>
          <w:bCs/>
          <w:color w:val="000000"/>
          <w:kern w:val="0"/>
          <w:lang w:val="es-VE" w:eastAsia="es-ES_tradnl"/>
          <w14:ligatures w14:val="none"/>
        </w:rPr>
        <w:t>4.- </w:t>
      </w:r>
      <w:r w:rsidRPr="00616C3F">
        <w:rPr>
          <w:rFonts w:ascii="Times New Roman" w:eastAsia="Times New Roman" w:hAnsi="Times New Roman" w:cs="Times New Roman"/>
          <w:color w:val="000000"/>
          <w:kern w:val="0"/>
          <w:lang w:val="es-VE" w:eastAsia="es-ES_tradnl"/>
          <w14:ligatures w14:val="none"/>
        </w:rPr>
        <w:t>Se </w:t>
      </w:r>
      <w:r w:rsidRPr="00616C3F">
        <w:rPr>
          <w:rFonts w:ascii="Times New Roman" w:eastAsia="Times New Roman" w:hAnsi="Times New Roman" w:cs="Times New Roman"/>
          <w:b/>
          <w:bCs/>
          <w:color w:val="000000"/>
          <w:kern w:val="0"/>
          <w:lang w:val="es-VE" w:eastAsia="es-ES_tradnl"/>
          <w14:ligatures w14:val="none"/>
        </w:rPr>
        <w:t>CONDENA EN COSTAS PROCESALES</w:t>
      </w:r>
      <w:r w:rsidRPr="00616C3F">
        <w:rPr>
          <w:rFonts w:ascii="Times New Roman" w:eastAsia="Times New Roman" w:hAnsi="Times New Roman" w:cs="Times New Roman"/>
          <w:color w:val="000000"/>
          <w:kern w:val="0"/>
          <w:lang w:val="es-VE" w:eastAsia="es-ES_tradnl"/>
          <w14:ligatures w14:val="none"/>
        </w:rPr>
        <w:t> a la empresa accionante, conforme a lo expuesto en este fallo. </w:t>
      </w:r>
    </w:p>
    <w:p w14:paraId="17167739" w14:textId="77777777" w:rsidR="00616C3F" w:rsidRPr="00616C3F" w:rsidRDefault="00616C3F" w:rsidP="00616C3F">
      <w:pPr>
        <w:spacing w:before="200" w:after="200" w:line="360" w:lineRule="atLeast"/>
        <w:ind w:firstLine="709"/>
        <w:jc w:val="both"/>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eastAsia="es-ES_tradnl"/>
          <w14:ligatures w14:val="none"/>
        </w:rPr>
        <w:t>Publíquese, regístrese y comuníquese. Notifíquese </w:t>
      </w:r>
      <w:r w:rsidRPr="00616C3F">
        <w:rPr>
          <w:rFonts w:ascii="Times New Roman" w:eastAsia="Times New Roman" w:hAnsi="Times New Roman" w:cs="Times New Roman"/>
          <w:color w:val="000000"/>
          <w:kern w:val="0"/>
          <w:lang w:val="es-VE" w:eastAsia="es-ES_tradnl"/>
          <w14:ligatures w14:val="none"/>
        </w:rPr>
        <w:t>a la Procuraduría General de la República</w:t>
      </w:r>
      <w:r w:rsidRPr="00616C3F">
        <w:rPr>
          <w:rFonts w:ascii="Times New Roman" w:eastAsia="Times New Roman" w:hAnsi="Times New Roman" w:cs="Times New Roman"/>
          <w:color w:val="000000"/>
          <w:kern w:val="0"/>
          <w:lang w:eastAsia="es-ES_tradnl"/>
          <w14:ligatures w14:val="none"/>
        </w:rPr>
        <w:t>. Devuélvase el expediente al Tribunal de origen. Cúmplase lo ordenado.</w:t>
      </w:r>
      <w:r w:rsidRPr="00616C3F">
        <w:rPr>
          <w:rFonts w:ascii="Times New Roman" w:eastAsia="Times New Roman" w:hAnsi="Times New Roman" w:cs="Times New Roman"/>
          <w:color w:val="000000"/>
          <w:kern w:val="0"/>
          <w:lang w:val="es-VE" w:eastAsia="es-ES_tradnl"/>
          <w14:ligatures w14:val="none"/>
        </w:rPr>
        <w:t> </w:t>
      </w:r>
    </w:p>
    <w:p w14:paraId="53E87A9B" w14:textId="77777777" w:rsidR="00616C3F" w:rsidRPr="00616C3F" w:rsidRDefault="00616C3F" w:rsidP="00616C3F">
      <w:pPr>
        <w:spacing w:line="360" w:lineRule="atLeast"/>
        <w:ind w:firstLine="709"/>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Dada, firmada y sellada en el Salón de Despacho de la Sala Político-Administrativa del Tribunal Supremo de Justicia, en Caracas, a los veintinueve (29) días del mes de marzo del año dos mil veintitrés  (2023). Años 212º de la Independencia y 164º de la Federación. </w:t>
      </w:r>
    </w:p>
    <w:p w14:paraId="18B46F4B" w14:textId="77777777" w:rsidR="00616C3F" w:rsidRPr="00616C3F" w:rsidRDefault="00616C3F" w:rsidP="00616C3F">
      <w:pPr>
        <w:jc w:val="center"/>
        <w:rPr>
          <w:rFonts w:ascii="Calibri" w:eastAsia="Times New Roman" w:hAnsi="Calibri" w:cs="Calibri"/>
          <w:color w:val="000000"/>
          <w:kern w:val="0"/>
          <w:sz w:val="22"/>
          <w:szCs w:val="22"/>
          <w:lang w:val="es-VE" w:eastAsia="es-ES_tradnl"/>
          <w14:ligatures w14:val="none"/>
        </w:rPr>
      </w:pPr>
      <w:r w:rsidRPr="00616C3F">
        <w:rPr>
          <w:rFonts w:ascii="Times New Roman" w:eastAsia="Times New Roman" w:hAnsi="Times New Roman" w:cs="Times New Roman"/>
          <w:color w:val="000000"/>
          <w:kern w:val="0"/>
          <w:lang w:val="es-VE" w:eastAsia="es-ES_tradnl"/>
          <w14:ligatures w14:val="none"/>
        </w:rPr>
        <w:t>  </w:t>
      </w:r>
    </w:p>
    <w:tbl>
      <w:tblPr>
        <w:tblpPr w:leftFromText="141" w:rightFromText="141" w:bottomFromText="110" w:vertAnchor="text"/>
        <w:tblW w:w="5000" w:type="pct"/>
        <w:tblCellMar>
          <w:top w:w="15" w:type="dxa"/>
          <w:left w:w="15" w:type="dxa"/>
          <w:bottom w:w="15" w:type="dxa"/>
          <w:right w:w="15" w:type="dxa"/>
        </w:tblCellMar>
        <w:tblLook w:val="04A0" w:firstRow="1" w:lastRow="0" w:firstColumn="1" w:lastColumn="0" w:noHBand="0" w:noVBand="1"/>
      </w:tblPr>
      <w:tblGrid>
        <w:gridCol w:w="2977"/>
        <w:gridCol w:w="3878"/>
        <w:gridCol w:w="1983"/>
      </w:tblGrid>
      <w:tr w:rsidR="00616C3F" w:rsidRPr="00616C3F" w14:paraId="4BF250C5" w14:textId="77777777" w:rsidTr="00616C3F">
        <w:tc>
          <w:tcPr>
            <w:tcW w:w="1650" w:type="pct"/>
            <w:tcMar>
              <w:top w:w="0" w:type="dxa"/>
              <w:left w:w="108" w:type="dxa"/>
              <w:bottom w:w="0" w:type="dxa"/>
              <w:right w:w="108" w:type="dxa"/>
            </w:tcMar>
            <w:hideMark/>
          </w:tcPr>
          <w:p w14:paraId="5D1E41B3"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spacing w:val="6"/>
                <w:kern w:val="0"/>
                <w:lang w:eastAsia="es-ES_tradnl"/>
                <w14:ligatures w14:val="none"/>
              </w:rPr>
              <w:t xml:space="preserve">El </w:t>
            </w:r>
            <w:proofErr w:type="gramStart"/>
            <w:r w:rsidRPr="00616C3F">
              <w:rPr>
                <w:rFonts w:ascii="Times New Roman" w:eastAsia="Times New Roman" w:hAnsi="Times New Roman" w:cs="Times New Roman"/>
                <w:spacing w:val="6"/>
                <w:kern w:val="0"/>
                <w:lang w:eastAsia="es-ES_tradnl"/>
                <w14:ligatures w14:val="none"/>
              </w:rPr>
              <w:t>Presidente</w:t>
            </w:r>
            <w:proofErr w:type="gramEnd"/>
            <w:r w:rsidRPr="00616C3F">
              <w:rPr>
                <w:rFonts w:ascii="Times New Roman" w:eastAsia="Times New Roman" w:hAnsi="Times New Roman" w:cs="Times New Roman"/>
                <w:spacing w:val="6"/>
                <w:kern w:val="0"/>
                <w:lang w:eastAsia="es-ES_tradnl"/>
                <w14:ligatures w14:val="none"/>
              </w:rPr>
              <w:t>,</w:t>
            </w:r>
            <w:r w:rsidRPr="00616C3F">
              <w:rPr>
                <w:rFonts w:ascii="Times New Roman" w:eastAsia="Times New Roman" w:hAnsi="Times New Roman" w:cs="Times New Roman"/>
                <w:kern w:val="0"/>
                <w:lang w:val="es-VE" w:eastAsia="es-ES_tradnl"/>
                <w14:ligatures w14:val="none"/>
              </w:rPr>
              <w:t> </w:t>
            </w:r>
          </w:p>
          <w:p w14:paraId="6CCB455E"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kern w:val="0"/>
                <w:lang w:val="es-VE" w:eastAsia="es-ES_tradnl"/>
                <w14:ligatures w14:val="none"/>
              </w:rPr>
              <w:t>MALAQUÍAS GIL RODRÍGUEZ</w:t>
            </w:r>
          </w:p>
        </w:tc>
        <w:tc>
          <w:tcPr>
            <w:tcW w:w="2150" w:type="pct"/>
            <w:tcMar>
              <w:top w:w="0" w:type="dxa"/>
              <w:left w:w="108" w:type="dxa"/>
              <w:bottom w:w="0" w:type="dxa"/>
              <w:right w:w="108" w:type="dxa"/>
            </w:tcMar>
            <w:hideMark/>
          </w:tcPr>
          <w:p w14:paraId="4D312314" w14:textId="77777777" w:rsidR="00616C3F" w:rsidRPr="00616C3F" w:rsidRDefault="00616C3F" w:rsidP="00616C3F">
            <w:pPr>
              <w:rPr>
                <w:rFonts w:ascii="Calibri" w:eastAsia="Times New Roman" w:hAnsi="Calibri" w:cs="Calibri"/>
                <w:kern w:val="0"/>
                <w:sz w:val="22"/>
                <w:szCs w:val="22"/>
                <w:lang w:val="es-VE" w:eastAsia="es-ES_tradnl"/>
                <w14:ligatures w14:val="none"/>
              </w:rPr>
            </w:pPr>
          </w:p>
        </w:tc>
        <w:tc>
          <w:tcPr>
            <w:tcW w:w="1100" w:type="pct"/>
            <w:tcMar>
              <w:top w:w="0" w:type="dxa"/>
              <w:left w:w="108" w:type="dxa"/>
              <w:bottom w:w="0" w:type="dxa"/>
              <w:right w:w="108" w:type="dxa"/>
            </w:tcMar>
            <w:hideMark/>
          </w:tcPr>
          <w:p w14:paraId="711BA0BC" w14:textId="77777777" w:rsidR="00616C3F" w:rsidRPr="00616C3F" w:rsidRDefault="00616C3F" w:rsidP="00616C3F">
            <w:pPr>
              <w:rPr>
                <w:rFonts w:ascii="Times New Roman" w:eastAsia="Times New Roman" w:hAnsi="Times New Roman" w:cs="Times New Roman"/>
                <w:kern w:val="0"/>
                <w:sz w:val="20"/>
                <w:szCs w:val="20"/>
                <w:lang w:val="es-VE" w:eastAsia="es-ES_tradnl"/>
                <w14:ligatures w14:val="none"/>
              </w:rPr>
            </w:pPr>
          </w:p>
        </w:tc>
      </w:tr>
      <w:tr w:rsidR="00616C3F" w:rsidRPr="00616C3F" w14:paraId="3AA28D0B" w14:textId="77777777" w:rsidTr="00616C3F">
        <w:tc>
          <w:tcPr>
            <w:tcW w:w="1650" w:type="pct"/>
            <w:tcMar>
              <w:top w:w="0" w:type="dxa"/>
              <w:left w:w="108" w:type="dxa"/>
              <w:bottom w:w="0" w:type="dxa"/>
              <w:right w:w="108" w:type="dxa"/>
            </w:tcMar>
            <w:hideMark/>
          </w:tcPr>
          <w:p w14:paraId="2A1174CD"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kern w:val="0"/>
                <w:lang w:val="es-VE" w:eastAsia="es-ES_tradnl"/>
                <w14:ligatures w14:val="none"/>
              </w:rPr>
              <w:t>  </w:t>
            </w:r>
          </w:p>
        </w:tc>
        <w:tc>
          <w:tcPr>
            <w:tcW w:w="2150" w:type="pct"/>
            <w:tcMar>
              <w:top w:w="0" w:type="dxa"/>
              <w:left w:w="108" w:type="dxa"/>
              <w:bottom w:w="0" w:type="dxa"/>
              <w:right w:w="108" w:type="dxa"/>
            </w:tcMar>
            <w:hideMark/>
          </w:tcPr>
          <w:p w14:paraId="7ABAB123" w14:textId="77777777" w:rsidR="00616C3F" w:rsidRPr="00616C3F" w:rsidRDefault="00616C3F" w:rsidP="00616C3F">
            <w:pPr>
              <w:rPr>
                <w:rFonts w:ascii="Calibri" w:eastAsia="Times New Roman" w:hAnsi="Calibri" w:cs="Calibri"/>
                <w:kern w:val="0"/>
                <w:sz w:val="22"/>
                <w:szCs w:val="22"/>
                <w:lang w:val="es-VE" w:eastAsia="es-ES_tradnl"/>
                <w14:ligatures w14:val="none"/>
              </w:rPr>
            </w:pPr>
          </w:p>
        </w:tc>
        <w:tc>
          <w:tcPr>
            <w:tcW w:w="1100" w:type="pct"/>
            <w:tcMar>
              <w:top w:w="0" w:type="dxa"/>
              <w:left w:w="108" w:type="dxa"/>
              <w:bottom w:w="0" w:type="dxa"/>
              <w:right w:w="108" w:type="dxa"/>
            </w:tcMar>
            <w:hideMark/>
          </w:tcPr>
          <w:p w14:paraId="672A95A8"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spacing w:val="6"/>
                <w:kern w:val="0"/>
                <w:lang w:eastAsia="es-ES_tradnl"/>
                <w14:ligatures w14:val="none"/>
              </w:rPr>
              <w:t xml:space="preserve">La </w:t>
            </w:r>
            <w:proofErr w:type="gramStart"/>
            <w:r w:rsidRPr="00616C3F">
              <w:rPr>
                <w:rFonts w:ascii="Times New Roman" w:eastAsia="Times New Roman" w:hAnsi="Times New Roman" w:cs="Times New Roman"/>
                <w:spacing w:val="6"/>
                <w:kern w:val="0"/>
                <w:lang w:eastAsia="es-ES_tradnl"/>
                <w14:ligatures w14:val="none"/>
              </w:rPr>
              <w:t>Vicepresidenta</w:t>
            </w:r>
            <w:proofErr w:type="gramEnd"/>
            <w:r w:rsidRPr="00616C3F">
              <w:rPr>
                <w:rFonts w:ascii="Times New Roman" w:eastAsia="Times New Roman" w:hAnsi="Times New Roman" w:cs="Times New Roman"/>
                <w:spacing w:val="6"/>
                <w:kern w:val="0"/>
                <w:lang w:eastAsia="es-ES_tradnl"/>
                <w14:ligatures w14:val="none"/>
              </w:rPr>
              <w:t>–Ponente,</w:t>
            </w:r>
            <w:r w:rsidRPr="00616C3F">
              <w:rPr>
                <w:rFonts w:ascii="Times New Roman" w:eastAsia="Times New Roman" w:hAnsi="Times New Roman" w:cs="Times New Roman"/>
                <w:kern w:val="0"/>
                <w:lang w:val="es-VE" w:eastAsia="es-ES_tradnl"/>
                <w14:ligatures w14:val="none"/>
              </w:rPr>
              <w:t> </w:t>
            </w:r>
          </w:p>
          <w:p w14:paraId="67BC374E"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spacing w:val="6"/>
                <w:kern w:val="0"/>
                <w:lang w:eastAsia="es-ES_tradnl"/>
                <w14:ligatures w14:val="none"/>
              </w:rPr>
              <w:t>BÁRBARA GABRIELA CÉSAR SIERO</w:t>
            </w:r>
            <w:r w:rsidRPr="00616C3F">
              <w:rPr>
                <w:rFonts w:ascii="Times New Roman" w:eastAsia="Times New Roman" w:hAnsi="Times New Roman" w:cs="Times New Roman"/>
                <w:kern w:val="0"/>
                <w:lang w:val="es-VE" w:eastAsia="es-ES_tradnl"/>
                <w14:ligatures w14:val="none"/>
              </w:rPr>
              <w:t> </w:t>
            </w:r>
          </w:p>
        </w:tc>
      </w:tr>
      <w:tr w:rsidR="00616C3F" w:rsidRPr="00616C3F" w14:paraId="2325BCD8" w14:textId="77777777" w:rsidTr="00616C3F">
        <w:tc>
          <w:tcPr>
            <w:tcW w:w="1650" w:type="pct"/>
            <w:tcMar>
              <w:top w:w="0" w:type="dxa"/>
              <w:left w:w="108" w:type="dxa"/>
              <w:bottom w:w="0" w:type="dxa"/>
              <w:right w:w="108" w:type="dxa"/>
            </w:tcMar>
            <w:hideMark/>
          </w:tcPr>
          <w:p w14:paraId="0909B372"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spacing w:val="6"/>
                <w:kern w:val="0"/>
                <w:lang w:eastAsia="es-ES_tradnl"/>
                <w14:ligatures w14:val="none"/>
              </w:rPr>
              <w:t>El Magistrado,</w:t>
            </w:r>
            <w:r w:rsidRPr="00616C3F">
              <w:rPr>
                <w:rFonts w:ascii="Times New Roman" w:eastAsia="Times New Roman" w:hAnsi="Times New Roman" w:cs="Times New Roman"/>
                <w:kern w:val="0"/>
                <w:lang w:val="es-VE" w:eastAsia="es-ES_tradnl"/>
                <w14:ligatures w14:val="none"/>
              </w:rPr>
              <w:t> </w:t>
            </w:r>
          </w:p>
          <w:p w14:paraId="5435C4B9"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spacing w:val="6"/>
                <w:kern w:val="0"/>
                <w:lang w:eastAsia="es-ES_tradnl"/>
                <w14:ligatures w14:val="none"/>
              </w:rPr>
              <w:t xml:space="preserve">JUAN CARLOS HIDALGO </w:t>
            </w:r>
            <w:proofErr w:type="spellStart"/>
            <w:r w:rsidRPr="00616C3F">
              <w:rPr>
                <w:rFonts w:ascii="Times New Roman" w:eastAsia="Times New Roman" w:hAnsi="Times New Roman" w:cs="Times New Roman"/>
                <w:b/>
                <w:bCs/>
                <w:spacing w:val="6"/>
                <w:kern w:val="0"/>
                <w:lang w:eastAsia="es-ES_tradnl"/>
                <w14:ligatures w14:val="none"/>
              </w:rPr>
              <w:t>PANDARES</w:t>
            </w:r>
            <w:proofErr w:type="spellEnd"/>
            <w:r w:rsidRPr="00616C3F">
              <w:rPr>
                <w:rFonts w:ascii="Times New Roman" w:eastAsia="Times New Roman" w:hAnsi="Times New Roman" w:cs="Times New Roman"/>
                <w:kern w:val="0"/>
                <w:lang w:val="es-VE" w:eastAsia="es-ES_tradnl"/>
                <w14:ligatures w14:val="none"/>
              </w:rPr>
              <w:t> </w:t>
            </w:r>
          </w:p>
        </w:tc>
        <w:tc>
          <w:tcPr>
            <w:tcW w:w="2150" w:type="pct"/>
            <w:tcMar>
              <w:top w:w="0" w:type="dxa"/>
              <w:left w:w="108" w:type="dxa"/>
              <w:bottom w:w="0" w:type="dxa"/>
              <w:right w:w="108" w:type="dxa"/>
            </w:tcMar>
            <w:hideMark/>
          </w:tcPr>
          <w:p w14:paraId="2DC8E2C5" w14:textId="77777777" w:rsidR="00616C3F" w:rsidRPr="00616C3F" w:rsidRDefault="00616C3F" w:rsidP="00616C3F">
            <w:pPr>
              <w:rPr>
                <w:rFonts w:ascii="Calibri" w:eastAsia="Times New Roman" w:hAnsi="Calibri" w:cs="Calibri"/>
                <w:kern w:val="0"/>
                <w:sz w:val="22"/>
                <w:szCs w:val="22"/>
                <w:lang w:val="es-VE" w:eastAsia="es-ES_tradnl"/>
                <w14:ligatures w14:val="none"/>
              </w:rPr>
            </w:pPr>
          </w:p>
        </w:tc>
        <w:tc>
          <w:tcPr>
            <w:tcW w:w="1100" w:type="pct"/>
            <w:tcMar>
              <w:top w:w="0" w:type="dxa"/>
              <w:left w:w="108" w:type="dxa"/>
              <w:bottom w:w="0" w:type="dxa"/>
              <w:right w:w="108" w:type="dxa"/>
            </w:tcMar>
            <w:hideMark/>
          </w:tcPr>
          <w:p w14:paraId="0EB0792F" w14:textId="77777777" w:rsidR="00616C3F" w:rsidRPr="00616C3F" w:rsidRDefault="00616C3F" w:rsidP="00616C3F">
            <w:pPr>
              <w:rPr>
                <w:rFonts w:ascii="Times New Roman" w:eastAsia="Times New Roman" w:hAnsi="Times New Roman" w:cs="Times New Roman"/>
                <w:kern w:val="0"/>
                <w:sz w:val="20"/>
                <w:szCs w:val="20"/>
                <w:lang w:val="es-VE" w:eastAsia="es-ES_tradnl"/>
                <w14:ligatures w14:val="none"/>
              </w:rPr>
            </w:pPr>
          </w:p>
        </w:tc>
      </w:tr>
      <w:tr w:rsidR="00616C3F" w:rsidRPr="00616C3F" w14:paraId="2364D170" w14:textId="77777777" w:rsidTr="00616C3F">
        <w:tc>
          <w:tcPr>
            <w:tcW w:w="1650" w:type="pct"/>
            <w:tcMar>
              <w:top w:w="0" w:type="dxa"/>
              <w:left w:w="108" w:type="dxa"/>
              <w:bottom w:w="0" w:type="dxa"/>
              <w:right w:w="108" w:type="dxa"/>
            </w:tcMar>
            <w:hideMark/>
          </w:tcPr>
          <w:p w14:paraId="79CA69DB" w14:textId="77777777" w:rsidR="00616C3F" w:rsidRPr="00616C3F" w:rsidRDefault="00616C3F" w:rsidP="00616C3F">
            <w:pPr>
              <w:rPr>
                <w:rFonts w:ascii="Times New Roman" w:eastAsia="Times New Roman" w:hAnsi="Times New Roman" w:cs="Times New Roman"/>
                <w:kern w:val="0"/>
                <w:sz w:val="20"/>
                <w:szCs w:val="20"/>
                <w:lang w:val="es-VE" w:eastAsia="es-ES_tradnl"/>
                <w14:ligatures w14:val="none"/>
              </w:rPr>
            </w:pPr>
          </w:p>
        </w:tc>
        <w:tc>
          <w:tcPr>
            <w:tcW w:w="2150" w:type="pct"/>
            <w:tcMar>
              <w:top w:w="0" w:type="dxa"/>
              <w:left w:w="108" w:type="dxa"/>
              <w:bottom w:w="0" w:type="dxa"/>
              <w:right w:w="108" w:type="dxa"/>
            </w:tcMar>
            <w:hideMark/>
          </w:tcPr>
          <w:p w14:paraId="654BEA05" w14:textId="77777777" w:rsidR="00616C3F" w:rsidRPr="00616C3F" w:rsidRDefault="00616C3F" w:rsidP="00616C3F">
            <w:pPr>
              <w:rPr>
                <w:rFonts w:ascii="Times New Roman" w:eastAsia="Times New Roman" w:hAnsi="Times New Roman" w:cs="Times New Roman"/>
                <w:kern w:val="0"/>
                <w:sz w:val="20"/>
                <w:szCs w:val="20"/>
                <w:lang w:val="es-VE" w:eastAsia="es-ES_tradnl"/>
                <w14:ligatures w14:val="none"/>
              </w:rPr>
            </w:pPr>
          </w:p>
        </w:tc>
        <w:tc>
          <w:tcPr>
            <w:tcW w:w="1100" w:type="pct"/>
            <w:tcMar>
              <w:top w:w="0" w:type="dxa"/>
              <w:left w:w="108" w:type="dxa"/>
              <w:bottom w:w="0" w:type="dxa"/>
              <w:right w:w="108" w:type="dxa"/>
            </w:tcMar>
            <w:hideMark/>
          </w:tcPr>
          <w:p w14:paraId="2C5DBE93"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kern w:val="0"/>
                <w:lang w:val="es-VE" w:eastAsia="es-ES_tradnl"/>
                <w14:ligatures w14:val="none"/>
              </w:rPr>
              <w:t>  </w:t>
            </w:r>
          </w:p>
        </w:tc>
      </w:tr>
      <w:tr w:rsidR="00616C3F" w:rsidRPr="00616C3F" w14:paraId="6CAA39F0" w14:textId="77777777" w:rsidTr="00616C3F">
        <w:tc>
          <w:tcPr>
            <w:tcW w:w="1650" w:type="pct"/>
            <w:tcMar>
              <w:top w:w="0" w:type="dxa"/>
              <w:left w:w="108" w:type="dxa"/>
              <w:bottom w:w="0" w:type="dxa"/>
              <w:right w:w="108" w:type="dxa"/>
            </w:tcMar>
            <w:hideMark/>
          </w:tcPr>
          <w:p w14:paraId="6DC38CD4"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kern w:val="0"/>
                <w:lang w:val="es-VE" w:eastAsia="es-ES_tradnl"/>
                <w14:ligatures w14:val="none"/>
              </w:rPr>
              <w:lastRenderedPageBreak/>
              <w:t>  </w:t>
            </w:r>
          </w:p>
        </w:tc>
        <w:tc>
          <w:tcPr>
            <w:tcW w:w="2150" w:type="pct"/>
            <w:tcMar>
              <w:top w:w="0" w:type="dxa"/>
              <w:left w:w="108" w:type="dxa"/>
              <w:bottom w:w="0" w:type="dxa"/>
              <w:right w:w="108" w:type="dxa"/>
            </w:tcMar>
            <w:hideMark/>
          </w:tcPr>
          <w:p w14:paraId="01FE8460" w14:textId="77777777" w:rsidR="00616C3F" w:rsidRPr="00616C3F" w:rsidRDefault="00616C3F" w:rsidP="00616C3F">
            <w:pPr>
              <w:rPr>
                <w:rFonts w:ascii="Calibri" w:eastAsia="Times New Roman" w:hAnsi="Calibri" w:cs="Calibri"/>
                <w:kern w:val="0"/>
                <w:sz w:val="22"/>
                <w:szCs w:val="22"/>
                <w:lang w:val="es-VE" w:eastAsia="es-ES_tradnl"/>
                <w14:ligatures w14:val="none"/>
              </w:rPr>
            </w:pPr>
          </w:p>
        </w:tc>
        <w:tc>
          <w:tcPr>
            <w:tcW w:w="1100" w:type="pct"/>
            <w:tcMar>
              <w:top w:w="0" w:type="dxa"/>
              <w:left w:w="108" w:type="dxa"/>
              <w:bottom w:w="0" w:type="dxa"/>
              <w:right w:w="108" w:type="dxa"/>
            </w:tcMar>
            <w:hideMark/>
          </w:tcPr>
          <w:p w14:paraId="1C2904CF" w14:textId="77777777" w:rsidR="00616C3F" w:rsidRPr="00616C3F" w:rsidRDefault="00616C3F" w:rsidP="00616C3F">
            <w:pPr>
              <w:rPr>
                <w:rFonts w:ascii="Times New Roman" w:eastAsia="Times New Roman" w:hAnsi="Times New Roman" w:cs="Times New Roman"/>
                <w:kern w:val="0"/>
                <w:sz w:val="20"/>
                <w:szCs w:val="20"/>
                <w:lang w:val="es-VE" w:eastAsia="es-ES_tradnl"/>
                <w14:ligatures w14:val="none"/>
              </w:rPr>
            </w:pPr>
          </w:p>
        </w:tc>
      </w:tr>
      <w:tr w:rsidR="00616C3F" w:rsidRPr="00616C3F" w14:paraId="3BE2E5E3" w14:textId="77777777" w:rsidTr="00616C3F">
        <w:tc>
          <w:tcPr>
            <w:tcW w:w="1650" w:type="pct"/>
            <w:tcMar>
              <w:top w:w="0" w:type="dxa"/>
              <w:left w:w="108" w:type="dxa"/>
              <w:bottom w:w="0" w:type="dxa"/>
              <w:right w:w="108" w:type="dxa"/>
            </w:tcMar>
            <w:hideMark/>
          </w:tcPr>
          <w:p w14:paraId="597D9AA1"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spacing w:val="6"/>
                <w:kern w:val="0"/>
                <w:lang w:eastAsia="es-ES_tradnl"/>
                <w14:ligatures w14:val="none"/>
              </w:rPr>
              <w:t> </w:t>
            </w:r>
            <w:r w:rsidRPr="00616C3F">
              <w:rPr>
                <w:rFonts w:ascii="Times New Roman" w:eastAsia="Times New Roman" w:hAnsi="Times New Roman" w:cs="Times New Roman"/>
                <w:kern w:val="0"/>
                <w:lang w:val="es-VE" w:eastAsia="es-ES_tradnl"/>
                <w14:ligatures w14:val="none"/>
              </w:rPr>
              <w:t> </w:t>
            </w:r>
          </w:p>
        </w:tc>
        <w:tc>
          <w:tcPr>
            <w:tcW w:w="2150" w:type="pct"/>
            <w:tcMar>
              <w:top w:w="0" w:type="dxa"/>
              <w:left w:w="108" w:type="dxa"/>
              <w:bottom w:w="0" w:type="dxa"/>
              <w:right w:w="108" w:type="dxa"/>
            </w:tcMar>
            <w:hideMark/>
          </w:tcPr>
          <w:p w14:paraId="42A208A6"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kern w:val="0"/>
                <w:lang w:val="es-VE" w:eastAsia="es-ES_tradnl"/>
                <w14:ligatures w14:val="none"/>
              </w:rPr>
              <w:t>La Secretaria, </w:t>
            </w:r>
          </w:p>
          <w:p w14:paraId="5D32B34D"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kern w:val="0"/>
                <w:lang w:val="es-VE" w:eastAsia="es-ES_tradnl"/>
                <w14:ligatures w14:val="none"/>
              </w:rPr>
              <w:t>CHADIA FERMIN PEÑA</w:t>
            </w:r>
            <w:r w:rsidRPr="00616C3F">
              <w:rPr>
                <w:rFonts w:ascii="Times New Roman" w:eastAsia="Times New Roman" w:hAnsi="Times New Roman" w:cs="Times New Roman"/>
                <w:kern w:val="0"/>
                <w:lang w:val="es-VE" w:eastAsia="es-ES_tradnl"/>
                <w14:ligatures w14:val="none"/>
              </w:rPr>
              <w:t> </w:t>
            </w:r>
          </w:p>
        </w:tc>
        <w:tc>
          <w:tcPr>
            <w:tcW w:w="1100" w:type="pct"/>
            <w:tcMar>
              <w:top w:w="0" w:type="dxa"/>
              <w:left w:w="108" w:type="dxa"/>
              <w:bottom w:w="0" w:type="dxa"/>
              <w:right w:w="108" w:type="dxa"/>
            </w:tcMar>
            <w:hideMark/>
          </w:tcPr>
          <w:p w14:paraId="7D15797F"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spacing w:val="6"/>
                <w:kern w:val="0"/>
                <w:lang w:val="es-VE" w:eastAsia="es-ES_tradnl"/>
                <w14:ligatures w14:val="none"/>
              </w:rPr>
              <w:t> </w:t>
            </w:r>
            <w:r w:rsidRPr="00616C3F">
              <w:rPr>
                <w:rFonts w:ascii="Times New Roman" w:eastAsia="Times New Roman" w:hAnsi="Times New Roman" w:cs="Times New Roman"/>
                <w:kern w:val="0"/>
                <w:lang w:val="es-VE" w:eastAsia="es-ES_tradnl"/>
                <w14:ligatures w14:val="none"/>
              </w:rPr>
              <w:t> </w:t>
            </w:r>
          </w:p>
        </w:tc>
      </w:tr>
      <w:tr w:rsidR="00616C3F" w:rsidRPr="00616C3F" w14:paraId="68A88565" w14:textId="77777777" w:rsidTr="00616C3F">
        <w:trPr>
          <w:trHeight w:val="63"/>
        </w:trPr>
        <w:tc>
          <w:tcPr>
            <w:tcW w:w="1650" w:type="pct"/>
            <w:tcMar>
              <w:top w:w="0" w:type="dxa"/>
              <w:left w:w="108" w:type="dxa"/>
              <w:bottom w:w="0" w:type="dxa"/>
              <w:right w:w="108" w:type="dxa"/>
            </w:tcMar>
            <w:hideMark/>
          </w:tcPr>
          <w:p w14:paraId="0A9A0CC3"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spacing w:val="6"/>
                <w:kern w:val="0"/>
                <w:lang w:eastAsia="es-ES_tradnl"/>
                <w14:ligatures w14:val="none"/>
              </w:rPr>
              <w:t> </w:t>
            </w:r>
            <w:r w:rsidRPr="00616C3F">
              <w:rPr>
                <w:rFonts w:ascii="Times New Roman" w:eastAsia="Times New Roman" w:hAnsi="Times New Roman" w:cs="Times New Roman"/>
                <w:kern w:val="0"/>
                <w:lang w:val="es-VE" w:eastAsia="es-ES_tradnl"/>
                <w14:ligatures w14:val="none"/>
              </w:rPr>
              <w:t> </w:t>
            </w:r>
          </w:p>
        </w:tc>
        <w:tc>
          <w:tcPr>
            <w:tcW w:w="2150" w:type="pct"/>
            <w:tcMar>
              <w:top w:w="0" w:type="dxa"/>
              <w:left w:w="108" w:type="dxa"/>
              <w:bottom w:w="0" w:type="dxa"/>
              <w:right w:w="108" w:type="dxa"/>
            </w:tcMar>
            <w:hideMark/>
          </w:tcPr>
          <w:p w14:paraId="52E83967"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color w:val="000000"/>
                <w:kern w:val="0"/>
                <w:lang w:val="es-ES" w:eastAsia="es-ES_tradnl"/>
                <w14:ligatures w14:val="none"/>
              </w:rPr>
              <w:t xml:space="preserve">En fecha veintinueve (29) de </w:t>
            </w:r>
            <w:proofErr w:type="gramStart"/>
            <w:r w:rsidRPr="00616C3F">
              <w:rPr>
                <w:rFonts w:ascii="Times New Roman" w:eastAsia="Times New Roman" w:hAnsi="Times New Roman" w:cs="Times New Roman"/>
                <w:b/>
                <w:bCs/>
                <w:color w:val="000000"/>
                <w:kern w:val="0"/>
                <w:lang w:val="es-ES" w:eastAsia="es-ES_tradnl"/>
                <w14:ligatures w14:val="none"/>
              </w:rPr>
              <w:t>marzo  del</w:t>
            </w:r>
            <w:proofErr w:type="gramEnd"/>
            <w:r w:rsidRPr="00616C3F">
              <w:rPr>
                <w:rFonts w:ascii="Times New Roman" w:eastAsia="Times New Roman" w:hAnsi="Times New Roman" w:cs="Times New Roman"/>
                <w:b/>
                <w:bCs/>
                <w:color w:val="000000"/>
                <w:kern w:val="0"/>
                <w:lang w:val="es-ES" w:eastAsia="es-ES_tradnl"/>
                <w14:ligatures w14:val="none"/>
              </w:rPr>
              <w:t xml:space="preserve"> año dos mil veintitrés, se publicó y registró la anterior sentencia bajo el </w:t>
            </w:r>
            <w:proofErr w:type="spellStart"/>
            <w:r w:rsidRPr="00616C3F">
              <w:rPr>
                <w:rFonts w:ascii="Times New Roman" w:eastAsia="Times New Roman" w:hAnsi="Times New Roman" w:cs="Times New Roman"/>
                <w:b/>
                <w:bCs/>
                <w:color w:val="000000"/>
                <w:kern w:val="0"/>
                <w:lang w:val="es-ES" w:eastAsia="es-ES_tradnl"/>
                <w14:ligatures w14:val="none"/>
              </w:rPr>
              <w:t>Nº</w:t>
            </w:r>
            <w:proofErr w:type="spellEnd"/>
            <w:r w:rsidRPr="00616C3F">
              <w:rPr>
                <w:rFonts w:ascii="Times New Roman" w:eastAsia="Times New Roman" w:hAnsi="Times New Roman" w:cs="Times New Roman"/>
                <w:b/>
                <w:bCs/>
                <w:color w:val="000000"/>
                <w:kern w:val="0"/>
                <w:lang w:val="es-ES" w:eastAsia="es-ES_tradnl"/>
                <w14:ligatures w14:val="none"/>
              </w:rPr>
              <w:t xml:space="preserve"> 00233.</w:t>
            </w:r>
            <w:r w:rsidRPr="00616C3F">
              <w:rPr>
                <w:rFonts w:ascii="Times New Roman" w:eastAsia="Times New Roman" w:hAnsi="Times New Roman" w:cs="Times New Roman"/>
                <w:kern w:val="0"/>
                <w:lang w:val="es-VE" w:eastAsia="es-ES_tradnl"/>
                <w14:ligatures w14:val="none"/>
              </w:rPr>
              <w:t> </w:t>
            </w:r>
          </w:p>
          <w:p w14:paraId="31EF16D6"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kern w:val="0"/>
                <w:lang w:val="es-VE" w:eastAsia="es-ES_tradnl"/>
                <w14:ligatures w14:val="none"/>
              </w:rPr>
              <w:t>La Secretaria, </w:t>
            </w:r>
          </w:p>
          <w:p w14:paraId="3C4BD13B" w14:textId="77777777" w:rsidR="00616C3F" w:rsidRPr="00616C3F" w:rsidRDefault="00616C3F" w:rsidP="00616C3F">
            <w:pPr>
              <w:jc w:val="center"/>
              <w:rPr>
                <w:rFonts w:ascii="Calibri" w:eastAsia="Times New Roman" w:hAnsi="Calibri" w:cs="Calibri"/>
                <w:kern w:val="0"/>
                <w:sz w:val="22"/>
                <w:szCs w:val="22"/>
                <w:lang w:val="es-VE" w:eastAsia="es-ES_tradnl"/>
                <w14:ligatures w14:val="none"/>
              </w:rPr>
            </w:pPr>
            <w:r w:rsidRPr="00616C3F">
              <w:rPr>
                <w:rFonts w:ascii="Times New Roman" w:eastAsia="Times New Roman" w:hAnsi="Times New Roman" w:cs="Times New Roman"/>
                <w:b/>
                <w:bCs/>
                <w:kern w:val="0"/>
                <w:lang w:val="es-VE" w:eastAsia="es-ES_tradnl"/>
                <w14:ligatures w14:val="none"/>
              </w:rPr>
              <w:t>CHADIA FERMIN PEÑA</w:t>
            </w:r>
            <w:r w:rsidRPr="00616C3F">
              <w:rPr>
                <w:rFonts w:ascii="Times New Roman" w:eastAsia="Times New Roman" w:hAnsi="Times New Roman" w:cs="Times New Roman"/>
                <w:kern w:val="0"/>
                <w:lang w:val="es-VE" w:eastAsia="es-ES_tradnl"/>
                <w14:ligatures w14:val="none"/>
              </w:rPr>
              <w:t> </w:t>
            </w:r>
          </w:p>
        </w:tc>
        <w:tc>
          <w:tcPr>
            <w:tcW w:w="0" w:type="auto"/>
            <w:vAlign w:val="center"/>
            <w:hideMark/>
          </w:tcPr>
          <w:p w14:paraId="43A694D5" w14:textId="77777777" w:rsidR="00616C3F" w:rsidRPr="00616C3F" w:rsidRDefault="00616C3F" w:rsidP="00616C3F">
            <w:pPr>
              <w:rPr>
                <w:rFonts w:ascii="Times New Roman" w:eastAsia="Times New Roman" w:hAnsi="Times New Roman" w:cs="Times New Roman"/>
                <w:kern w:val="0"/>
                <w:sz w:val="20"/>
                <w:szCs w:val="20"/>
                <w:lang w:val="es-VE" w:eastAsia="es-ES_tradnl"/>
                <w14:ligatures w14:val="none"/>
              </w:rPr>
            </w:pPr>
          </w:p>
        </w:tc>
      </w:tr>
    </w:tbl>
    <w:p w14:paraId="447A3CAF" w14:textId="77777777" w:rsidR="00A12D3B" w:rsidRPr="00616C3F" w:rsidRDefault="00A12D3B">
      <w:pPr>
        <w:rPr>
          <w:lang w:val="es-VE"/>
        </w:rPr>
      </w:pPr>
    </w:p>
    <w:sectPr w:rsidR="00A12D3B" w:rsidRPr="00616C3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C3F"/>
    <w:rsid w:val="003839E4"/>
    <w:rsid w:val="00616C3F"/>
    <w:rsid w:val="00694FFF"/>
    <w:rsid w:val="00795282"/>
    <w:rsid w:val="009B655C"/>
    <w:rsid w:val="00A12D3B"/>
    <w:rsid w:val="00A33ADD"/>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ecimalSymbol w:val=","/>
  <w:listSeparator w:val=";"/>
  <w14:docId w14:val="0D70DFA5"/>
  <w15:chartTrackingRefBased/>
  <w15:docId w15:val="{80F4EB1F-5D20-AA48-96D3-7D4B5F5C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V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autoRedefine/>
    <w:uiPriority w:val="9"/>
    <w:qFormat/>
    <w:rsid w:val="00A33ADD"/>
    <w:pPr>
      <w:spacing w:before="120" w:after="240"/>
      <w:jc w:val="center"/>
      <w:outlineLvl w:val="0"/>
    </w:pPr>
    <w:rPr>
      <w:rFonts w:cs="Arial"/>
      <w:b/>
      <w:bCs/>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3ADD"/>
    <w:rPr>
      <w:rFonts w:cs="Arial"/>
      <w:b/>
      <w:bCs/>
      <w:sz w:val="28"/>
      <w:szCs w:val="20"/>
    </w:rPr>
  </w:style>
  <w:style w:type="paragraph" w:styleId="Sinespaciado">
    <w:name w:val="No Spacing"/>
    <w:uiPriority w:val="1"/>
    <w:qFormat/>
    <w:rsid w:val="009B655C"/>
    <w:pPr>
      <w:jc w:val="both"/>
    </w:pPr>
    <w:rPr>
      <w:rFonts w:ascii="Arial" w:hAnsi="Arial"/>
      <w:i/>
      <w:kern w:val="0"/>
      <w:sz w:val="20"/>
      <w:szCs w:val="22"/>
      <w14:ligatures w14:val="none"/>
    </w:rPr>
  </w:style>
  <w:style w:type="paragraph" w:styleId="Piedepgina">
    <w:name w:val="footer"/>
    <w:basedOn w:val="Normal"/>
    <w:link w:val="PiedepginaCar"/>
    <w:uiPriority w:val="99"/>
    <w:unhideWhenUsed/>
    <w:qFormat/>
    <w:rsid w:val="00795282"/>
    <w:pPr>
      <w:tabs>
        <w:tab w:val="center" w:pos="4419"/>
        <w:tab w:val="right" w:pos="8838"/>
      </w:tabs>
      <w:jc w:val="both"/>
    </w:pPr>
    <w:rPr>
      <w:rFonts w:ascii="Times New Roman" w:hAnsi="Times New Roman"/>
      <w:szCs w:val="22"/>
      <w:lang w:val="es-VE"/>
    </w:rPr>
  </w:style>
  <w:style w:type="character" w:customStyle="1" w:styleId="PiedepginaCar">
    <w:name w:val="Pie de página Car"/>
    <w:basedOn w:val="Fuentedeprrafopredeter"/>
    <w:link w:val="Piedepgina"/>
    <w:uiPriority w:val="99"/>
    <w:rsid w:val="00795282"/>
    <w:rPr>
      <w:rFonts w:ascii="Times New Roman" w:hAnsi="Times New Roman"/>
      <w:szCs w:val="22"/>
    </w:rPr>
  </w:style>
  <w:style w:type="character" w:customStyle="1" w:styleId="contentpasted0">
    <w:name w:val="contentpasted0"/>
    <w:basedOn w:val="Fuentedeprrafopredeter"/>
    <w:rsid w:val="00616C3F"/>
  </w:style>
  <w:style w:type="character" w:customStyle="1" w:styleId="apple-converted-space">
    <w:name w:val="apple-converted-space"/>
    <w:basedOn w:val="Fuentedeprrafopredeter"/>
    <w:rsid w:val="00616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8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5666</Words>
  <Characters>31169</Characters>
  <Application>Microsoft Office Word</Application>
  <DocSecurity>0</DocSecurity>
  <Lines>259</Lines>
  <Paragraphs>73</Paragraphs>
  <ScaleCrop>false</ScaleCrop>
  <Company/>
  <LinksUpToDate>false</LinksUpToDate>
  <CharactersWithSpaces>36762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Díaz</dc:creator>
  <cp:keywords/>
  <dc:description/>
  <cp:lastModifiedBy>Julio Díaz</cp:lastModifiedBy>
  <cp:revision>1</cp:revision>
  <dcterms:created xsi:type="dcterms:W3CDTF">2023-09-04T18:42:00Z</dcterms:created>
  <dcterms:modified xsi:type="dcterms:W3CDTF">2023-09-04T18:44:00Z</dcterms:modified>
</cp:coreProperties>
</file>